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伊犁州特克斯县疾病预防控制中心部门单位整体支出绩效自评报告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特克斯县疾病预防控制中心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 xml:space="preserve"> 26</w:t>
      </w:r>
      <w:r>
        <w:rPr>
          <w:rFonts w:hint="eastAsia" w:hAnsi="宋体" w:eastAsia="仿宋_GB2312" w:cs="宋体"/>
          <w:kern w:val="0"/>
          <w:sz w:val="36"/>
          <w:szCs w:val="36"/>
        </w:rPr>
        <w:t xml:space="preserve"> 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spacing w:line="360" w:lineRule="auto"/>
        <w:rPr>
          <w:rStyle w:val="19"/>
          <w:rFonts w:ascii="仿宋" w:hAnsi="仿宋" w:eastAsia="仿宋"/>
          <w:b/>
          <w:bCs/>
        </w:rPr>
      </w:pPr>
      <w:bookmarkStart w:id="2" w:name="_Toc70450290"/>
      <w:r>
        <w:rPr>
          <w:rStyle w:val="19"/>
          <w:rFonts w:hint="eastAsia" w:ascii="仿宋" w:hAnsi="仿宋" w:eastAsia="仿宋"/>
          <w:b/>
          <w:bCs/>
        </w:rPr>
        <w:t>（一）部门单位基本情况</w:t>
      </w:r>
      <w:bookmarkEnd w:id="2"/>
    </w:p>
    <w:p>
      <w:pPr>
        <w:pStyle w:val="6"/>
        <w:spacing w:line="360" w:lineRule="auto"/>
        <w:ind w:firstLine="562" w:firstLineChars="200"/>
        <w:rPr>
          <w:rStyle w:val="19"/>
          <w:rFonts w:hint="eastAsia" w:asciiTheme="minorEastAsia" w:hAnsiTheme="minorEastAsia"/>
          <w:b/>
          <w:bCs w:val="0"/>
          <w:color w:val="FF0000"/>
          <w:spacing w:val="-4"/>
          <w:sz w:val="28"/>
          <w:szCs w:val="28"/>
        </w:rPr>
      </w:pPr>
      <w:bookmarkStart w:id="3" w:name="_Toc70450291"/>
      <w:r>
        <w:rPr>
          <w:rStyle w:val="19"/>
          <w:rFonts w:ascii="仿宋" w:hAnsi="仿宋" w:eastAsia="仿宋"/>
          <w:b/>
          <w:bCs/>
        </w:rPr>
        <w:t>1</w:t>
      </w:r>
      <w:r>
        <w:rPr>
          <w:rStyle w:val="19"/>
          <w:rFonts w:hint="eastAsia" w:ascii="仿宋" w:hAnsi="仿宋" w:eastAsia="仿宋"/>
          <w:b/>
          <w:bCs/>
        </w:rPr>
        <w:t>、主要职能</w:t>
      </w:r>
      <w:bookmarkEnd w:id="3"/>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1、拟定并实施疾病预防控制、公共卫生工作计划，落实相应措施，进行质量检查和效果评估。</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2、负责对影响人群生活、学习、工作等环境质量及生 命质量危险因素的卫生学监测，对传染病、地方病、寄生虫 病、职业病、慢性非传染性疾病、公害病、学生常见病及意 外伤害、中毒等发生、发展和分布的规律进行流行病学监测 分析和防治，并制定预防控制对策。</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3、承担对传染病的发生、流行、中毒、卫生污染、救灾防病等重大公共卫生问题的调查处理。</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4、开展卫生防病检验和实验室质量控制；受卫生行政部门认定，承担卫生监测检验、预防性健康检查。</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5、开展计划免疫预防接种工作，负责预防用生物制品的使用与管理。</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6、承担疾病预防控制及有关公共卫生信息的管理、报告及预测、预报，负责卫生监测统计报告，为疾病预防控制决策提供依据。</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7、开展健康教育，参与社区卫生服务工作，促进社会健康环境的建立和人群健康行为的形成。</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8、协助和配合上级部门开展应用性科研和其它相关工作。</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9、参与卫生标准、规范的研究制定，开展预防医学应用研究,开发和推广先进技术。</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10、负责爱国卫生及创建国家卫生城市的技术指导和经常性的公共卫生管理工作。</w:t>
      </w:r>
    </w:p>
    <w:p>
      <w:pPr>
        <w:widowControl/>
        <w:spacing w:line="520" w:lineRule="atLeast"/>
        <w:ind w:firstLine="560" w:firstLineChars="200"/>
        <w:jc w:val="left"/>
        <w:rPr>
          <w:rStyle w:val="19"/>
          <w:rFonts w:hint="eastAsia" w:ascii="仿宋" w:hAnsi="仿宋" w:eastAsia="仿宋" w:cstheme="majorBidi"/>
          <w:b w:val="0"/>
          <w:bCs w:val="0"/>
          <w:kern w:val="2"/>
          <w:sz w:val="28"/>
          <w:szCs w:val="28"/>
          <w:lang w:val="en-US" w:eastAsia="zh-CN" w:bidi="ar-SA"/>
        </w:rPr>
      </w:pPr>
      <w:r>
        <w:rPr>
          <w:rStyle w:val="19"/>
          <w:rFonts w:hint="eastAsia" w:ascii="仿宋" w:hAnsi="仿宋" w:eastAsia="仿宋" w:cstheme="majorBidi"/>
          <w:b w:val="0"/>
          <w:bCs w:val="0"/>
          <w:kern w:val="2"/>
          <w:sz w:val="28"/>
          <w:szCs w:val="28"/>
          <w:lang w:val="en-US" w:eastAsia="zh-CN" w:bidi="ar-SA"/>
        </w:rPr>
        <w:t>11、负责疫情收集、分析、组织各级医疗机构开展卫生防病工作，承担初级预防医学专业技术尺员的培训。</w:t>
      </w:r>
    </w:p>
    <w:p>
      <w:pPr>
        <w:pStyle w:val="6"/>
        <w:spacing w:line="360" w:lineRule="auto"/>
        <w:ind w:firstLine="562" w:firstLineChars="200"/>
        <w:rPr>
          <w:rStyle w:val="19"/>
          <w:rFonts w:ascii="仿宋" w:hAnsi="仿宋" w:eastAsia="仿宋"/>
          <w:b/>
          <w:bCs/>
        </w:rPr>
      </w:pPr>
      <w:bookmarkStart w:id="4" w:name="_Toc70450292"/>
      <w:r>
        <w:rPr>
          <w:rStyle w:val="19"/>
          <w:rFonts w:hint="eastAsia" w:ascii="仿宋" w:hAnsi="仿宋" w:eastAsia="仿宋"/>
          <w:b/>
          <w:bCs/>
        </w:rPr>
        <w:t>2、机构人员构成</w:t>
      </w:r>
      <w:bookmarkEnd w:id="4"/>
    </w:p>
    <w:p>
      <w:pPr>
        <w:spacing w:line="360" w:lineRule="auto"/>
        <w:ind w:firstLine="544" w:firstLineChars="200"/>
        <w:rPr>
          <w:rStyle w:val="19"/>
          <w:rFonts w:hint="eastAsia" w:ascii="仿宋" w:hAnsi="仿宋" w:eastAsia="仿宋" w:cs="仿宋"/>
          <w:b w:val="0"/>
          <w:spacing w:val="-4"/>
          <w:sz w:val="28"/>
          <w:szCs w:val="28"/>
        </w:rPr>
      </w:pPr>
      <w:r>
        <w:rPr>
          <w:rStyle w:val="19"/>
          <w:rFonts w:hint="eastAsia" w:ascii="仿宋" w:hAnsi="仿宋" w:eastAsia="仿宋" w:cs="仿宋"/>
          <w:b w:val="0"/>
          <w:spacing w:val="-4"/>
          <w:sz w:val="28"/>
          <w:szCs w:val="28"/>
        </w:rPr>
        <w:t>（1）组织机构设置：</w:t>
      </w:r>
    </w:p>
    <w:p>
      <w:pPr>
        <w:spacing w:line="360" w:lineRule="auto"/>
        <w:ind w:firstLine="544" w:firstLineChars="200"/>
        <w:rPr>
          <w:rStyle w:val="19"/>
          <w:rFonts w:hint="eastAsia" w:ascii="仿宋" w:hAnsi="仿宋" w:eastAsia="仿宋" w:cs="仿宋"/>
          <w:b w:val="0"/>
          <w:spacing w:val="-4"/>
          <w:sz w:val="28"/>
          <w:szCs w:val="28"/>
        </w:rPr>
      </w:pPr>
      <w:r>
        <w:rPr>
          <w:rStyle w:val="19"/>
          <w:rFonts w:hint="eastAsia" w:ascii="仿宋" w:hAnsi="仿宋" w:eastAsia="仿宋" w:cs="仿宋"/>
          <w:b w:val="0"/>
          <w:spacing w:val="-4"/>
          <w:sz w:val="28"/>
          <w:szCs w:val="28"/>
          <w:lang w:eastAsia="zh-CN"/>
        </w:rPr>
        <w:t>特克斯县疾病预防控制中心</w:t>
      </w:r>
      <w:r>
        <w:rPr>
          <w:rStyle w:val="19"/>
          <w:rFonts w:hint="eastAsia" w:ascii="仿宋" w:hAnsi="仿宋" w:eastAsia="仿宋" w:cs="仿宋"/>
          <w:b w:val="0"/>
          <w:spacing w:val="-4"/>
          <w:sz w:val="28"/>
          <w:szCs w:val="28"/>
        </w:rPr>
        <w:t>无下属预算单位，下设</w:t>
      </w:r>
      <w:r>
        <w:rPr>
          <w:rStyle w:val="19"/>
          <w:rFonts w:hint="eastAsia" w:ascii="仿宋" w:hAnsi="仿宋" w:eastAsia="仿宋" w:cs="仿宋"/>
          <w:b w:val="0"/>
          <w:spacing w:val="-4"/>
          <w:sz w:val="28"/>
          <w:szCs w:val="28"/>
          <w:lang w:val="en-US" w:eastAsia="zh-CN"/>
        </w:rPr>
        <w:t>8</w:t>
      </w:r>
      <w:r>
        <w:rPr>
          <w:rStyle w:val="19"/>
          <w:rFonts w:hint="eastAsia" w:ascii="仿宋" w:hAnsi="仿宋" w:eastAsia="仿宋" w:cs="仿宋"/>
          <w:b w:val="0"/>
          <w:spacing w:val="-4"/>
          <w:sz w:val="28"/>
          <w:szCs w:val="28"/>
        </w:rPr>
        <w:t>个</w:t>
      </w:r>
      <w:r>
        <w:rPr>
          <w:rStyle w:val="19"/>
          <w:rFonts w:hint="eastAsia" w:ascii="仿宋" w:hAnsi="仿宋" w:eastAsia="仿宋" w:cs="仿宋"/>
          <w:b w:val="0"/>
          <w:spacing w:val="-4"/>
          <w:sz w:val="28"/>
          <w:szCs w:val="28"/>
          <w:lang w:val="en-US" w:eastAsia="zh-CN"/>
        </w:rPr>
        <w:t>科</w:t>
      </w:r>
      <w:r>
        <w:rPr>
          <w:rStyle w:val="19"/>
          <w:rFonts w:hint="eastAsia" w:ascii="仿宋" w:hAnsi="仿宋" w:eastAsia="仿宋" w:cs="仿宋"/>
          <w:b w:val="0"/>
          <w:spacing w:val="-4"/>
          <w:sz w:val="28"/>
          <w:szCs w:val="28"/>
        </w:rPr>
        <w:t>室，分别是：</w:t>
      </w:r>
      <w:r>
        <w:rPr>
          <w:rStyle w:val="19"/>
          <w:rFonts w:hint="eastAsia" w:ascii="仿宋" w:hAnsi="仿宋" w:eastAsia="仿宋" w:cs="仿宋"/>
          <w:b w:val="0"/>
          <w:spacing w:val="-4"/>
          <w:sz w:val="28"/>
          <w:szCs w:val="28"/>
          <w:lang w:eastAsia="zh-CN"/>
        </w:rPr>
        <w:t>艾防科、结防科、计免科、地病科、检验科、办公室、财务科</w:t>
      </w:r>
      <w:r>
        <w:rPr>
          <w:rStyle w:val="19"/>
          <w:rFonts w:hint="eastAsia" w:ascii="仿宋" w:hAnsi="仿宋" w:eastAsia="仿宋" w:cs="仿宋"/>
          <w:b w:val="0"/>
          <w:spacing w:val="-4"/>
          <w:sz w:val="28"/>
          <w:szCs w:val="28"/>
        </w:rPr>
        <w:t>。</w:t>
      </w:r>
    </w:p>
    <w:p>
      <w:pPr>
        <w:spacing w:line="360" w:lineRule="auto"/>
        <w:ind w:firstLine="544" w:firstLineChars="200"/>
        <w:rPr>
          <w:rStyle w:val="19"/>
          <w:rFonts w:hint="eastAsia" w:ascii="仿宋" w:hAnsi="仿宋" w:eastAsia="仿宋" w:cs="仿宋"/>
          <w:b w:val="0"/>
          <w:spacing w:val="-4"/>
          <w:sz w:val="28"/>
          <w:szCs w:val="28"/>
        </w:rPr>
      </w:pPr>
      <w:r>
        <w:rPr>
          <w:rStyle w:val="19"/>
          <w:rFonts w:hint="eastAsia" w:ascii="仿宋" w:hAnsi="仿宋" w:eastAsia="仿宋" w:cs="仿宋"/>
          <w:b w:val="0"/>
          <w:spacing w:val="-4"/>
          <w:sz w:val="28"/>
          <w:szCs w:val="28"/>
        </w:rPr>
        <w:t>（2）2021年</w:t>
      </w:r>
      <w:r>
        <w:rPr>
          <w:rStyle w:val="19"/>
          <w:rFonts w:hint="eastAsia" w:ascii="仿宋" w:hAnsi="仿宋" w:eastAsia="仿宋" w:cs="仿宋"/>
          <w:b w:val="0"/>
          <w:spacing w:val="-4"/>
          <w:sz w:val="28"/>
          <w:szCs w:val="28"/>
          <w:lang w:eastAsia="zh-CN"/>
        </w:rPr>
        <w:t>特克斯县疾病预防控制中心</w:t>
      </w:r>
      <w:r>
        <w:rPr>
          <w:rStyle w:val="19"/>
          <w:rFonts w:hint="eastAsia" w:ascii="仿宋" w:hAnsi="仿宋" w:eastAsia="仿宋" w:cs="仿宋"/>
          <w:b w:val="0"/>
          <w:spacing w:val="-4"/>
          <w:sz w:val="28"/>
          <w:szCs w:val="28"/>
        </w:rPr>
        <w:t>实有在职人员为</w:t>
      </w:r>
      <w:r>
        <w:rPr>
          <w:rStyle w:val="19"/>
          <w:rFonts w:hint="eastAsia" w:ascii="仿宋" w:hAnsi="仿宋" w:eastAsia="仿宋" w:cs="仿宋"/>
          <w:b w:val="0"/>
          <w:spacing w:val="-4"/>
          <w:sz w:val="28"/>
          <w:szCs w:val="28"/>
          <w:lang w:val="en-US" w:eastAsia="zh-CN"/>
        </w:rPr>
        <w:t>31</w:t>
      </w:r>
      <w:r>
        <w:rPr>
          <w:rStyle w:val="19"/>
          <w:rFonts w:hint="eastAsia" w:ascii="仿宋" w:hAnsi="仿宋" w:eastAsia="仿宋" w:cs="仿宋"/>
          <w:b w:val="0"/>
          <w:spacing w:val="-4"/>
          <w:sz w:val="28"/>
          <w:szCs w:val="28"/>
        </w:rPr>
        <w:t>人，其中：</w:t>
      </w:r>
    </w:p>
    <w:p>
      <w:pPr>
        <w:spacing w:line="360" w:lineRule="auto"/>
        <w:ind w:firstLine="544" w:firstLineChars="200"/>
        <w:rPr>
          <w:rStyle w:val="19"/>
          <w:rFonts w:hint="eastAsia" w:ascii="仿宋_GB2312" w:hAnsi="楷体" w:eastAsia="仿宋_GB2312" w:cs="Times New Roman"/>
          <w:b w:val="0"/>
          <w:spacing w:val="-4"/>
          <w:sz w:val="28"/>
          <w:szCs w:val="28"/>
        </w:rPr>
      </w:pPr>
      <w:r>
        <w:rPr>
          <w:rStyle w:val="19"/>
          <w:rFonts w:hint="eastAsia" w:ascii="仿宋_GB2312" w:hAnsi="楷体" w:eastAsia="仿宋_GB2312"/>
          <w:b w:val="0"/>
          <w:spacing w:val="-4"/>
          <w:sz w:val="28"/>
          <w:szCs w:val="28"/>
        </w:rPr>
        <w:t>行政在职</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人（上年</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人）</w:t>
      </w:r>
      <w:r>
        <w:rPr>
          <w:rStyle w:val="19"/>
          <w:rFonts w:hint="eastAsia" w:ascii="仿宋_GB2312" w:hAnsi="楷体" w:eastAsia="仿宋_GB2312" w:cs="Times New Roman"/>
          <w:b w:val="0"/>
          <w:spacing w:val="-4"/>
          <w:sz w:val="28"/>
          <w:szCs w:val="28"/>
        </w:rPr>
        <w:t>，与上年一致；</w:t>
      </w:r>
    </w:p>
    <w:p>
      <w:pPr>
        <w:spacing w:line="360" w:lineRule="auto"/>
        <w:ind w:firstLine="544" w:firstLineChars="200"/>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lang w:eastAsia="zh-CN"/>
        </w:rPr>
        <w:t>事业</w:t>
      </w:r>
      <w:r>
        <w:rPr>
          <w:rStyle w:val="19"/>
          <w:rFonts w:hint="eastAsia" w:ascii="仿宋_GB2312" w:hAnsi="楷体" w:eastAsia="仿宋_GB2312" w:cs="Times New Roman"/>
          <w:b w:val="0"/>
          <w:spacing w:val="-4"/>
          <w:sz w:val="28"/>
          <w:szCs w:val="28"/>
        </w:rPr>
        <w:t>在职</w:t>
      </w:r>
      <w:r>
        <w:rPr>
          <w:rStyle w:val="19"/>
          <w:rFonts w:hint="eastAsia" w:ascii="仿宋_GB2312" w:hAnsi="楷体" w:eastAsia="仿宋_GB2312" w:cs="Times New Roman"/>
          <w:b w:val="0"/>
          <w:spacing w:val="-4"/>
          <w:sz w:val="28"/>
          <w:szCs w:val="28"/>
          <w:lang w:val="en-US" w:eastAsia="zh-CN"/>
        </w:rPr>
        <w:t>31</w:t>
      </w:r>
      <w:r>
        <w:rPr>
          <w:rStyle w:val="19"/>
          <w:rFonts w:hint="eastAsia" w:ascii="仿宋_GB2312" w:hAnsi="楷体" w:eastAsia="仿宋_GB2312" w:cs="Times New Roman"/>
          <w:b w:val="0"/>
          <w:spacing w:val="-4"/>
          <w:sz w:val="28"/>
          <w:szCs w:val="28"/>
        </w:rPr>
        <w:t>人（上年</w:t>
      </w:r>
      <w:r>
        <w:rPr>
          <w:rStyle w:val="19"/>
          <w:rFonts w:hint="eastAsia" w:ascii="仿宋_GB2312" w:hAnsi="楷体" w:eastAsia="仿宋_GB2312" w:cs="Times New Roman"/>
          <w:b w:val="0"/>
          <w:spacing w:val="-4"/>
          <w:sz w:val="28"/>
          <w:szCs w:val="28"/>
          <w:lang w:val="en-US" w:eastAsia="zh-CN"/>
        </w:rPr>
        <w:t>31</w:t>
      </w:r>
      <w:r>
        <w:rPr>
          <w:rStyle w:val="19"/>
          <w:rFonts w:hint="eastAsia" w:ascii="仿宋_GB2312" w:hAnsi="楷体" w:eastAsia="仿宋_GB2312" w:cs="Times New Roman"/>
          <w:b w:val="0"/>
          <w:spacing w:val="-4"/>
          <w:sz w:val="28"/>
          <w:szCs w:val="28"/>
        </w:rPr>
        <w:t>人），同比上年一致；</w:t>
      </w:r>
    </w:p>
    <w:p>
      <w:pPr>
        <w:spacing w:line="360" w:lineRule="auto"/>
        <w:ind w:firstLine="544" w:firstLineChars="200"/>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实有离休人员</w:t>
      </w:r>
      <w:r>
        <w:rPr>
          <w:rStyle w:val="19"/>
          <w:rFonts w:hint="eastAsia" w:ascii="仿宋_GB2312" w:hAnsi="楷体" w:eastAsia="仿宋_GB2312" w:cs="Times New Roman"/>
          <w:b w:val="0"/>
          <w:spacing w:val="-4"/>
          <w:sz w:val="28"/>
          <w:szCs w:val="28"/>
          <w:lang w:val="en-US" w:eastAsia="zh-CN"/>
        </w:rPr>
        <w:t>0</w:t>
      </w:r>
      <w:r>
        <w:rPr>
          <w:rStyle w:val="19"/>
          <w:rFonts w:hint="eastAsia" w:ascii="仿宋_GB2312" w:hAnsi="楷体" w:eastAsia="仿宋_GB2312" w:cs="Times New Roman"/>
          <w:b w:val="0"/>
          <w:spacing w:val="-4"/>
          <w:sz w:val="28"/>
          <w:szCs w:val="28"/>
        </w:rPr>
        <w:t>人（上年</w:t>
      </w:r>
      <w:r>
        <w:rPr>
          <w:rStyle w:val="19"/>
          <w:rFonts w:hint="eastAsia" w:ascii="仿宋_GB2312" w:hAnsi="楷体" w:eastAsia="仿宋_GB2312" w:cs="Times New Roman"/>
          <w:b w:val="0"/>
          <w:spacing w:val="-4"/>
          <w:sz w:val="28"/>
          <w:szCs w:val="28"/>
          <w:lang w:val="en-US" w:eastAsia="zh-CN"/>
        </w:rPr>
        <w:t>0</w:t>
      </w:r>
      <w:r>
        <w:rPr>
          <w:rStyle w:val="19"/>
          <w:rFonts w:hint="eastAsia" w:ascii="仿宋_GB2312" w:hAnsi="楷体" w:eastAsia="仿宋_GB2312" w:cs="Times New Roman"/>
          <w:b w:val="0"/>
          <w:spacing w:val="-4"/>
          <w:sz w:val="28"/>
          <w:szCs w:val="28"/>
        </w:rPr>
        <w:t>人）,同比上年一致；</w:t>
      </w:r>
    </w:p>
    <w:p>
      <w:pPr>
        <w:spacing w:line="360" w:lineRule="auto"/>
        <w:ind w:firstLine="544" w:firstLineChars="200"/>
        <w:rPr>
          <w:rStyle w:val="19"/>
          <w:rFonts w:hint="eastAsia" w:ascii="仿宋" w:hAnsi="仿宋" w:eastAsia="仿宋" w:cs="仿宋"/>
          <w:b w:val="0"/>
          <w:spacing w:val="-4"/>
          <w:sz w:val="28"/>
          <w:szCs w:val="28"/>
        </w:rPr>
      </w:pPr>
      <w:r>
        <w:rPr>
          <w:rStyle w:val="19"/>
          <w:rFonts w:hint="eastAsia" w:ascii="仿宋_GB2312" w:hAnsi="楷体" w:eastAsia="仿宋_GB2312" w:cs="Times New Roman"/>
          <w:b w:val="0"/>
          <w:spacing w:val="-4"/>
          <w:sz w:val="28"/>
          <w:szCs w:val="28"/>
        </w:rPr>
        <w:t>实有退休人员</w:t>
      </w:r>
      <w:r>
        <w:rPr>
          <w:rStyle w:val="19"/>
          <w:rFonts w:hint="eastAsia" w:ascii="仿宋_GB2312" w:hAnsi="楷体" w:eastAsia="仿宋_GB2312" w:cs="Times New Roman"/>
          <w:b w:val="0"/>
          <w:spacing w:val="-4"/>
          <w:sz w:val="28"/>
          <w:szCs w:val="28"/>
          <w:lang w:val="en-US" w:eastAsia="zh-CN"/>
        </w:rPr>
        <w:t>24</w:t>
      </w:r>
      <w:r>
        <w:rPr>
          <w:rStyle w:val="19"/>
          <w:rFonts w:hint="eastAsia" w:ascii="仿宋_GB2312" w:hAnsi="楷体" w:eastAsia="仿宋_GB2312" w:cs="Times New Roman"/>
          <w:b w:val="0"/>
          <w:spacing w:val="-4"/>
          <w:sz w:val="28"/>
          <w:szCs w:val="28"/>
        </w:rPr>
        <w:t>人（上年</w:t>
      </w:r>
      <w:r>
        <w:rPr>
          <w:rStyle w:val="19"/>
          <w:rFonts w:hint="eastAsia" w:ascii="仿宋_GB2312" w:hAnsi="楷体" w:eastAsia="仿宋_GB2312" w:cs="Times New Roman"/>
          <w:b w:val="0"/>
          <w:spacing w:val="-4"/>
          <w:sz w:val="28"/>
          <w:szCs w:val="28"/>
          <w:lang w:val="en-US" w:eastAsia="zh-CN"/>
        </w:rPr>
        <w:t>24</w:t>
      </w:r>
      <w:r>
        <w:rPr>
          <w:rStyle w:val="19"/>
          <w:rFonts w:hint="eastAsia" w:ascii="仿宋_GB2312" w:hAnsi="楷体" w:eastAsia="仿宋_GB2312" w:cs="Times New Roman"/>
          <w:b w:val="0"/>
          <w:spacing w:val="-4"/>
          <w:sz w:val="28"/>
          <w:szCs w:val="28"/>
        </w:rPr>
        <w:t>人 同比上年一致</w:t>
      </w:r>
      <w:r>
        <w:rPr>
          <w:rStyle w:val="19"/>
          <w:rFonts w:hint="eastAsia" w:ascii="仿宋" w:hAnsi="仿宋" w:eastAsia="仿宋" w:cs="仿宋"/>
          <w:b w:val="0"/>
          <w:spacing w:val="-4"/>
          <w:sz w:val="28"/>
          <w:szCs w:val="28"/>
        </w:rPr>
        <w:t>。</w:t>
      </w:r>
    </w:p>
    <w:p>
      <w:pPr>
        <w:pStyle w:val="6"/>
        <w:spacing w:line="360" w:lineRule="auto"/>
        <w:ind w:firstLine="562" w:firstLineChars="200"/>
        <w:rPr>
          <w:rStyle w:val="19"/>
          <w:rFonts w:ascii="仿宋" w:hAnsi="仿宋" w:eastAsia="仿宋"/>
          <w:b/>
          <w:bCs/>
        </w:rPr>
      </w:pPr>
      <w:bookmarkStart w:id="5" w:name="_Toc70450293"/>
      <w:r>
        <w:rPr>
          <w:rStyle w:val="19"/>
          <w:rFonts w:ascii="仿宋" w:hAnsi="仿宋" w:eastAsia="仿宋"/>
          <w:b/>
          <w:bCs/>
        </w:rPr>
        <w:t>3</w:t>
      </w:r>
      <w:r>
        <w:rPr>
          <w:rStyle w:val="19"/>
          <w:rFonts w:hint="eastAsia" w:ascii="仿宋" w:hAnsi="仿宋" w:eastAsia="仿宋"/>
          <w:b/>
          <w:bCs/>
        </w:rPr>
        <w:t>、重点工作计划</w:t>
      </w:r>
      <w:bookmarkEnd w:id="5"/>
    </w:p>
    <w:p>
      <w:pPr>
        <w:pStyle w:val="15"/>
        <w:widowControl/>
        <w:spacing w:before="40" w:beforeAutospacing="0" w:after="0" w:afterAutospacing="0" w:line="520" w:lineRule="atLeast"/>
        <w:ind w:firstLine="544" w:firstLineChars="200"/>
        <w:jc w:val="both"/>
        <w:rPr>
          <w:rFonts w:ascii="仿宋_GB2312" w:hAnsi="仿宋_GB2312" w:eastAsia="仿宋_GB2312" w:cs="仿宋_GB2312"/>
          <w:sz w:val="32"/>
          <w:szCs w:val="32"/>
        </w:rPr>
      </w:pPr>
      <w:r>
        <w:rPr>
          <w:rStyle w:val="19"/>
          <w:rFonts w:hint="eastAsia" w:ascii="仿宋" w:hAnsi="仿宋" w:eastAsia="仿宋" w:cs="仿宋"/>
          <w:b w:val="0"/>
          <w:spacing w:val="-4"/>
          <w:kern w:val="2"/>
          <w:sz w:val="28"/>
          <w:szCs w:val="28"/>
          <w:lang w:val="en-US" w:eastAsia="zh-CN" w:bidi="ar-SA"/>
        </w:rPr>
        <w:t>1.继续做好免疫规划疫苗常规接种工作，及时对受新冠肺炎疫情影响漏种疫苗进行补种、常规免疫接种和入托入学接种证查验，提高疫苗接种率，防止疫苗可预防传染病的暴发流行。</w:t>
      </w:r>
    </w:p>
    <w:p>
      <w:pPr>
        <w:pStyle w:val="15"/>
        <w:widowControl/>
        <w:spacing w:before="40" w:beforeAutospacing="0" w:after="0" w:afterAutospacing="0" w:line="520" w:lineRule="atLeast"/>
        <w:ind w:firstLine="544" w:firstLineChars="200"/>
        <w:jc w:val="both"/>
        <w:rPr>
          <w:rStyle w:val="19"/>
          <w:rFonts w:hint="eastAsia" w:ascii="仿宋" w:hAnsi="仿宋" w:eastAsia="仿宋" w:cs="仿宋"/>
          <w:b w:val="0"/>
          <w:spacing w:val="-4"/>
          <w:kern w:val="2"/>
          <w:sz w:val="28"/>
          <w:szCs w:val="28"/>
          <w:lang w:val="en-US" w:eastAsia="zh-CN" w:bidi="ar-SA"/>
        </w:rPr>
      </w:pPr>
      <w:r>
        <w:rPr>
          <w:rStyle w:val="19"/>
          <w:rFonts w:hint="eastAsia" w:ascii="仿宋" w:hAnsi="仿宋" w:eastAsia="仿宋" w:cs="仿宋"/>
          <w:b w:val="0"/>
          <w:spacing w:val="-4"/>
          <w:kern w:val="2"/>
          <w:sz w:val="28"/>
          <w:szCs w:val="28"/>
          <w:lang w:val="en-US" w:eastAsia="zh-CN" w:bidi="ar-SA"/>
        </w:rPr>
        <w:t>2.督促各级医疗单位做好传染病的上报工作，提高传染病监测信息的及时报告率、及时审核率和有效证件填写完整率，进一步提高传染病网络直报工作综合质量。</w:t>
      </w:r>
    </w:p>
    <w:p>
      <w:pPr>
        <w:pStyle w:val="15"/>
        <w:widowControl/>
        <w:spacing w:before="40" w:beforeAutospacing="0" w:after="0" w:afterAutospacing="0" w:line="520" w:lineRule="atLeast"/>
        <w:ind w:firstLine="544" w:firstLineChars="200"/>
        <w:jc w:val="both"/>
        <w:rPr>
          <w:rStyle w:val="19"/>
          <w:rFonts w:hint="eastAsia" w:ascii="仿宋" w:hAnsi="仿宋" w:eastAsia="仿宋" w:cs="仿宋"/>
          <w:b w:val="0"/>
          <w:spacing w:val="-4"/>
          <w:kern w:val="2"/>
          <w:sz w:val="28"/>
          <w:szCs w:val="28"/>
          <w:lang w:val="en-US" w:eastAsia="zh-CN" w:bidi="ar-SA"/>
        </w:rPr>
      </w:pPr>
      <w:r>
        <w:rPr>
          <w:rStyle w:val="19"/>
          <w:rFonts w:hint="eastAsia" w:ascii="仿宋" w:hAnsi="仿宋" w:eastAsia="仿宋" w:cs="仿宋"/>
          <w:b w:val="0"/>
          <w:spacing w:val="-4"/>
          <w:kern w:val="2"/>
          <w:sz w:val="28"/>
          <w:szCs w:val="28"/>
          <w:lang w:val="en-US" w:eastAsia="zh-CN" w:bidi="ar-SA"/>
        </w:rPr>
        <w:t>3.严格按照《2020年伊犁州结核病防治专项行动工作方案》《2020年特克斯县结核病防治专项行动工作方案》要求，及时开展各项结核病防治专项行动工作，认真落实“集中服药+营养早餐”活动，加强对各乡镇结核病防治的指导力度，规范患者的治疗，实行定点医院全面落实传染性肺结核患者隔离治疗制度。</w:t>
      </w:r>
    </w:p>
    <w:p>
      <w:pPr>
        <w:pStyle w:val="15"/>
        <w:widowControl/>
        <w:spacing w:before="40" w:beforeAutospacing="0" w:after="0" w:afterAutospacing="0" w:line="520" w:lineRule="atLeast"/>
        <w:ind w:firstLine="544" w:firstLineChars="200"/>
        <w:jc w:val="both"/>
        <w:rPr>
          <w:rStyle w:val="19"/>
          <w:rFonts w:hint="eastAsia" w:ascii="仿宋" w:hAnsi="仿宋" w:eastAsia="仿宋" w:cs="仿宋"/>
          <w:b w:val="0"/>
          <w:spacing w:val="-4"/>
          <w:kern w:val="2"/>
          <w:sz w:val="28"/>
          <w:szCs w:val="28"/>
          <w:lang w:val="en-US" w:eastAsia="zh-CN" w:bidi="ar-SA"/>
        </w:rPr>
      </w:pPr>
      <w:r>
        <w:rPr>
          <w:rStyle w:val="19"/>
          <w:rFonts w:hint="eastAsia" w:ascii="仿宋" w:hAnsi="仿宋" w:eastAsia="仿宋" w:cs="仿宋"/>
          <w:b w:val="0"/>
          <w:spacing w:val="-4"/>
          <w:kern w:val="2"/>
          <w:sz w:val="28"/>
          <w:szCs w:val="28"/>
          <w:lang w:val="en-US" w:eastAsia="zh-CN" w:bidi="ar-SA"/>
        </w:rPr>
        <w:t>4、加强对艾滋病患者的随访力度，做好病人的依从性教育，提高抗病毒治疗率，提高艾滋病的检测能力，做好宣传教育工作，继续加强艾滋病的筛查工作。</w:t>
      </w:r>
    </w:p>
    <w:p>
      <w:pPr>
        <w:pStyle w:val="15"/>
        <w:widowControl/>
        <w:spacing w:before="40" w:beforeAutospacing="0" w:after="0" w:afterAutospacing="0" w:line="520" w:lineRule="atLeast"/>
        <w:ind w:firstLine="544" w:firstLineChars="200"/>
        <w:jc w:val="both"/>
        <w:rPr>
          <w:rStyle w:val="19"/>
          <w:rFonts w:hint="eastAsia" w:ascii="仿宋" w:hAnsi="仿宋" w:eastAsia="仿宋" w:cs="仿宋"/>
          <w:b w:val="0"/>
          <w:spacing w:val="-4"/>
          <w:kern w:val="2"/>
          <w:sz w:val="28"/>
          <w:szCs w:val="28"/>
          <w:lang w:val="en-US" w:eastAsia="zh-CN" w:bidi="ar-SA"/>
        </w:rPr>
      </w:pPr>
      <w:r>
        <w:rPr>
          <w:rStyle w:val="19"/>
          <w:rFonts w:hint="eastAsia" w:ascii="仿宋" w:hAnsi="仿宋" w:eastAsia="仿宋" w:cs="仿宋"/>
          <w:b w:val="0"/>
          <w:spacing w:val="-4"/>
          <w:kern w:val="2"/>
          <w:sz w:val="28"/>
          <w:szCs w:val="28"/>
          <w:lang w:val="en-US" w:eastAsia="zh-CN" w:bidi="ar-SA"/>
        </w:rPr>
        <w:t>5、做好包虫病、高血压、糖尿病及严重精神障碍患者的健康教育、筛查、治疗、随访等各项工作，加大疾病的发现率，提高疾病治愈率。</w:t>
      </w:r>
    </w:p>
    <w:p>
      <w:pPr>
        <w:pStyle w:val="15"/>
        <w:widowControl/>
        <w:spacing w:before="40" w:beforeAutospacing="0" w:after="0" w:afterAutospacing="0" w:line="520" w:lineRule="atLeast"/>
        <w:ind w:firstLine="544" w:firstLineChars="200"/>
        <w:jc w:val="both"/>
        <w:rPr>
          <w:rStyle w:val="19"/>
          <w:rFonts w:hint="eastAsia" w:ascii="仿宋" w:hAnsi="仿宋" w:eastAsia="仿宋" w:cs="仿宋"/>
          <w:b w:val="0"/>
          <w:spacing w:val="-4"/>
          <w:kern w:val="2"/>
          <w:sz w:val="28"/>
          <w:szCs w:val="28"/>
          <w:lang w:val="en-US" w:eastAsia="zh-CN" w:bidi="ar-SA"/>
        </w:rPr>
      </w:pPr>
      <w:r>
        <w:rPr>
          <w:rStyle w:val="19"/>
          <w:rFonts w:hint="eastAsia" w:ascii="仿宋" w:hAnsi="仿宋" w:eastAsia="仿宋" w:cs="仿宋"/>
          <w:b w:val="0"/>
          <w:spacing w:val="-4"/>
          <w:kern w:val="2"/>
          <w:sz w:val="28"/>
          <w:szCs w:val="28"/>
          <w:lang w:val="en-US" w:eastAsia="zh-CN" w:bidi="ar-SA"/>
        </w:rPr>
        <w:t>6、继续抓好实验室队伍建设，对实验室检测人员加强理论知识的培训和学习，对新招考人员开展带教学习，由取得PCR上岗人员进行一帮一、一帮多人的学习方式进行带教，提高业务本领和水平。</w:t>
      </w:r>
    </w:p>
    <w:p>
      <w:pPr>
        <w:pStyle w:val="15"/>
        <w:widowControl/>
        <w:spacing w:before="40" w:beforeAutospacing="0" w:after="0" w:afterAutospacing="0" w:line="520" w:lineRule="atLeast"/>
        <w:ind w:firstLine="544" w:firstLineChars="200"/>
        <w:jc w:val="both"/>
        <w:rPr>
          <w:rStyle w:val="19"/>
          <w:rFonts w:hint="eastAsia" w:ascii="仿宋" w:hAnsi="仿宋" w:eastAsia="仿宋" w:cs="仿宋"/>
          <w:b w:val="0"/>
          <w:spacing w:val="-4"/>
          <w:kern w:val="2"/>
          <w:sz w:val="28"/>
          <w:szCs w:val="28"/>
          <w:lang w:val="en-US" w:eastAsia="zh-CN" w:bidi="ar-SA"/>
        </w:rPr>
      </w:pPr>
      <w:r>
        <w:rPr>
          <w:rStyle w:val="19"/>
          <w:rFonts w:hint="eastAsia" w:ascii="仿宋" w:hAnsi="仿宋" w:eastAsia="仿宋" w:cs="仿宋"/>
          <w:b w:val="0"/>
          <w:spacing w:val="-4"/>
          <w:kern w:val="2"/>
          <w:sz w:val="28"/>
          <w:szCs w:val="28"/>
          <w:lang w:val="en-US" w:eastAsia="zh-CN" w:bidi="ar-SA"/>
        </w:rPr>
        <w:t>7、加强建设项目工作的实施，加强与各部门的沟通、协调，争取项目的落地实施。</w:t>
      </w:r>
    </w:p>
    <w:p>
      <w:pPr>
        <w:pStyle w:val="5"/>
        <w:spacing w:line="360" w:lineRule="auto"/>
        <w:ind w:firstLine="562" w:firstLineChars="200"/>
        <w:rPr>
          <w:rStyle w:val="19"/>
          <w:rFonts w:ascii="仿宋" w:hAnsi="仿宋" w:eastAsia="仿宋"/>
          <w:b/>
          <w:bCs/>
          <w:sz w:val="28"/>
          <w:szCs w:val="28"/>
        </w:rPr>
      </w:pPr>
      <w:bookmarkStart w:id="6" w:name="_Toc70450294"/>
      <w:r>
        <w:rPr>
          <w:rStyle w:val="19"/>
          <w:rFonts w:hint="eastAsia" w:ascii="仿宋" w:hAnsi="仿宋" w:eastAsia="仿宋"/>
          <w:b/>
          <w:bCs/>
          <w:sz w:val="28"/>
          <w:szCs w:val="28"/>
        </w:rPr>
        <w:t>（二）部门单位整体支出规模、</w:t>
      </w:r>
      <w:bookmarkStart w:id="7" w:name="_Hlk70339807"/>
      <w:r>
        <w:rPr>
          <w:rStyle w:val="19"/>
          <w:rFonts w:hint="eastAsia" w:ascii="仿宋" w:hAnsi="仿宋" w:eastAsia="仿宋"/>
          <w:b/>
          <w:bCs/>
          <w:sz w:val="28"/>
          <w:szCs w:val="28"/>
        </w:rPr>
        <w:t>使用方法和主要内容、涉及对象及范围等</w:t>
      </w:r>
      <w:bookmarkEnd w:id="6"/>
    </w:p>
    <w:bookmarkEnd w:id="7"/>
    <w:p>
      <w:pPr>
        <w:pStyle w:val="6"/>
        <w:spacing w:line="360" w:lineRule="auto"/>
        <w:ind w:firstLine="562" w:firstLineChars="200"/>
        <w:rPr>
          <w:rStyle w:val="19"/>
          <w:rFonts w:ascii="仿宋" w:hAnsi="仿宋" w:eastAsia="仿宋"/>
          <w:b/>
          <w:bCs/>
        </w:rPr>
      </w:pPr>
      <w:bookmarkStart w:id="8" w:name="_Toc70450295"/>
      <w:r>
        <w:rPr>
          <w:rStyle w:val="19"/>
          <w:rFonts w:hint="eastAsia" w:ascii="仿宋" w:hAnsi="仿宋" w:eastAsia="仿宋"/>
          <w:b/>
          <w:bCs/>
        </w:rPr>
        <w:t>1、部门单位整体支出规模</w:t>
      </w:r>
      <w:bookmarkEnd w:id="8"/>
    </w:p>
    <w:p>
      <w:pPr>
        <w:spacing w:line="360" w:lineRule="auto"/>
        <w:ind w:firstLine="544" w:firstLineChars="200"/>
        <w:rPr>
          <w:rStyle w:val="19"/>
          <w:rFonts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highlight w:val="none"/>
        </w:rPr>
        <w:t>2021年批复</w:t>
      </w:r>
      <w:r>
        <w:rPr>
          <w:rStyle w:val="19"/>
          <w:rFonts w:hint="eastAsia" w:ascii="仿宋_GB2312" w:hAnsi="楷体" w:eastAsia="仿宋_GB2312"/>
          <w:b w:val="0"/>
          <w:spacing w:val="-4"/>
          <w:sz w:val="28"/>
          <w:szCs w:val="28"/>
          <w:highlight w:val="none"/>
          <w:lang w:val="en-US" w:eastAsia="zh-CN"/>
        </w:rPr>
        <w:t>我单位</w:t>
      </w:r>
      <w:r>
        <w:rPr>
          <w:rStyle w:val="19"/>
          <w:rFonts w:hint="eastAsia" w:ascii="仿宋_GB2312" w:hAnsi="楷体" w:eastAsia="仿宋_GB2312"/>
          <w:b w:val="0"/>
          <w:spacing w:val="-4"/>
          <w:sz w:val="28"/>
          <w:szCs w:val="28"/>
          <w:highlight w:val="none"/>
        </w:rPr>
        <w:t>为</w:t>
      </w:r>
      <w:r>
        <w:rPr>
          <w:rStyle w:val="19"/>
          <w:rFonts w:hint="eastAsia" w:ascii="仿宋_GB2312" w:hAnsi="楷体" w:eastAsia="仿宋_GB2312"/>
          <w:b w:val="0"/>
          <w:spacing w:val="-4"/>
          <w:sz w:val="28"/>
          <w:szCs w:val="28"/>
          <w:highlight w:val="none"/>
          <w:lang w:val="en-US" w:eastAsia="zh-CN"/>
        </w:rPr>
        <w:t>918.18</w:t>
      </w:r>
      <w:r>
        <w:rPr>
          <w:rStyle w:val="19"/>
          <w:rFonts w:hint="eastAsia" w:ascii="仿宋_GB2312" w:hAnsi="楷体" w:eastAsia="仿宋_GB2312"/>
          <w:b w:val="0"/>
          <w:spacing w:val="-4"/>
          <w:sz w:val="28"/>
          <w:szCs w:val="28"/>
          <w:highlight w:val="none"/>
        </w:rPr>
        <w:t>万元，其中：财政拨款为</w:t>
      </w:r>
      <w:r>
        <w:rPr>
          <w:rStyle w:val="19"/>
          <w:rFonts w:hint="eastAsia" w:ascii="仿宋_GB2312" w:hAnsi="楷体" w:eastAsia="仿宋_GB2312"/>
          <w:b w:val="0"/>
          <w:spacing w:val="-4"/>
          <w:sz w:val="28"/>
          <w:szCs w:val="28"/>
          <w:highlight w:val="none"/>
          <w:lang w:val="en-US" w:eastAsia="zh-CN"/>
        </w:rPr>
        <w:t>918.18</w:t>
      </w:r>
      <w:r>
        <w:rPr>
          <w:rStyle w:val="19"/>
          <w:rFonts w:hint="eastAsia" w:ascii="仿宋_GB2312" w:hAnsi="楷体" w:eastAsia="仿宋_GB2312"/>
          <w:b w:val="0"/>
          <w:spacing w:val="-4"/>
          <w:sz w:val="28"/>
          <w:szCs w:val="28"/>
          <w:highlight w:val="none"/>
        </w:rPr>
        <w:t>万元</w:t>
      </w:r>
      <w:r>
        <w:rPr>
          <w:rStyle w:val="19"/>
          <w:rFonts w:hint="eastAsia" w:ascii="仿宋_GB2312" w:hAnsi="楷体" w:eastAsia="仿宋_GB2312"/>
          <w:b w:val="0"/>
          <w:spacing w:val="-4"/>
          <w:sz w:val="28"/>
          <w:szCs w:val="28"/>
          <w:highlight w:val="none"/>
          <w:lang w:eastAsia="zh-CN"/>
        </w:rPr>
        <w:t>。</w:t>
      </w:r>
      <w:r>
        <w:rPr>
          <w:rStyle w:val="19"/>
          <w:rFonts w:hint="eastAsia" w:ascii="仿宋_GB2312" w:hAnsi="楷体" w:eastAsia="仿宋_GB2312"/>
          <w:b w:val="0"/>
          <w:spacing w:val="-4"/>
          <w:sz w:val="28"/>
          <w:szCs w:val="28"/>
          <w:highlight w:val="none"/>
        </w:rPr>
        <w:t>年中追加资金</w:t>
      </w:r>
      <w:r>
        <w:rPr>
          <w:rStyle w:val="19"/>
          <w:rFonts w:hint="eastAsia" w:ascii="仿宋_GB2312" w:hAnsi="宋体" w:eastAsia="仿宋_GB2312"/>
          <w:b w:val="0"/>
          <w:bCs w:val="0"/>
          <w:spacing w:val="-4"/>
          <w:sz w:val="28"/>
          <w:szCs w:val="28"/>
          <w:highlight w:val="none"/>
          <w:lang w:val="en-US" w:eastAsia="zh-CN"/>
        </w:rPr>
        <w:t>557.27</w:t>
      </w:r>
      <w:r>
        <w:rPr>
          <w:rStyle w:val="19"/>
          <w:rFonts w:hint="eastAsia" w:ascii="仿宋_GB2312" w:hAnsi="楷体" w:eastAsia="仿宋_GB2312"/>
          <w:b w:val="0"/>
          <w:spacing w:val="-4"/>
          <w:sz w:val="28"/>
          <w:szCs w:val="28"/>
          <w:highlight w:val="none"/>
        </w:rPr>
        <w:t>万元，调整率</w:t>
      </w:r>
      <w:r>
        <w:rPr>
          <w:rStyle w:val="19"/>
          <w:rFonts w:hint="eastAsia" w:ascii="仿宋_GB2312" w:hAnsi="楷体" w:eastAsia="仿宋_GB2312"/>
          <w:b w:val="0"/>
          <w:spacing w:val="-4"/>
          <w:sz w:val="28"/>
          <w:szCs w:val="28"/>
          <w:highlight w:val="none"/>
          <w:lang w:val="en-US" w:eastAsia="zh-CN"/>
        </w:rPr>
        <w:t>154.41</w:t>
      </w:r>
      <w:r>
        <w:rPr>
          <w:rStyle w:val="19"/>
          <w:rFonts w:hint="eastAsia" w:ascii="仿宋_GB2312" w:hAnsi="楷体" w:eastAsia="仿宋_GB2312"/>
          <w:b w:val="0"/>
          <w:spacing w:val="-4"/>
          <w:sz w:val="28"/>
          <w:szCs w:val="28"/>
          <w:highlight w:val="none"/>
        </w:rPr>
        <w:t>%。对比上年</w:t>
      </w:r>
      <w:r>
        <w:rPr>
          <w:rStyle w:val="19"/>
          <w:rFonts w:hint="eastAsia" w:ascii="仿宋_GB2312" w:hAnsi="楷体" w:eastAsia="仿宋_GB2312"/>
          <w:b w:val="0"/>
          <w:spacing w:val="-4"/>
          <w:sz w:val="28"/>
          <w:szCs w:val="28"/>
          <w:highlight w:val="none"/>
          <w:lang w:val="en-US" w:eastAsia="zh-CN"/>
        </w:rPr>
        <w:t>1251.71</w:t>
      </w:r>
      <w:r>
        <w:rPr>
          <w:rStyle w:val="19"/>
          <w:rFonts w:hint="eastAsia" w:ascii="仿宋_GB2312" w:hAnsi="楷体" w:eastAsia="仿宋_GB2312"/>
          <w:b w:val="0"/>
          <w:spacing w:val="-4"/>
          <w:sz w:val="28"/>
          <w:szCs w:val="28"/>
          <w:highlight w:val="none"/>
        </w:rPr>
        <w:t>万元</w:t>
      </w:r>
      <w:r>
        <w:rPr>
          <w:rStyle w:val="19"/>
          <w:rFonts w:hint="eastAsia" w:ascii="仿宋_GB2312" w:hAnsi="楷体" w:eastAsia="仿宋_GB2312"/>
          <w:b w:val="0"/>
          <w:spacing w:val="-4"/>
          <w:sz w:val="28"/>
          <w:szCs w:val="28"/>
          <w:highlight w:val="none"/>
          <w:lang w:val="en-US" w:eastAsia="zh-CN"/>
        </w:rPr>
        <w:t>减少333.53</w:t>
      </w:r>
      <w:r>
        <w:rPr>
          <w:rStyle w:val="19"/>
          <w:rFonts w:hint="eastAsia" w:ascii="仿宋_GB2312" w:hAnsi="楷体" w:eastAsia="仿宋_GB2312"/>
          <w:b w:val="0"/>
          <w:spacing w:val="-4"/>
          <w:sz w:val="28"/>
          <w:szCs w:val="28"/>
          <w:highlight w:val="none"/>
        </w:rPr>
        <w:t>万元，</w:t>
      </w:r>
      <w:r>
        <w:rPr>
          <w:rStyle w:val="19"/>
          <w:rFonts w:hint="eastAsia" w:ascii="仿宋_GB2312" w:hAnsi="楷体" w:eastAsia="仿宋_GB2312"/>
          <w:b w:val="0"/>
          <w:spacing w:val="-4"/>
          <w:sz w:val="28"/>
          <w:szCs w:val="28"/>
          <w:highlight w:val="none"/>
          <w:lang w:val="en-US" w:eastAsia="zh-CN"/>
        </w:rPr>
        <w:t>下降26.65</w:t>
      </w:r>
      <w:r>
        <w:rPr>
          <w:rStyle w:val="19"/>
          <w:rFonts w:hint="eastAsia" w:ascii="仿宋_GB2312" w:hAnsi="楷体" w:eastAsia="仿宋_GB2312"/>
          <w:b w:val="0"/>
          <w:spacing w:val="-4"/>
          <w:sz w:val="28"/>
          <w:szCs w:val="28"/>
          <w:highlight w:val="none"/>
        </w:rPr>
        <w:t>%。</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2021年实际决算支出</w:t>
      </w:r>
      <w:r>
        <w:rPr>
          <w:rStyle w:val="19"/>
          <w:rFonts w:hint="eastAsia" w:ascii="仿宋_GB2312" w:hAnsi="楷体" w:eastAsia="仿宋_GB2312"/>
          <w:b w:val="0"/>
          <w:spacing w:val="-4"/>
          <w:sz w:val="28"/>
          <w:szCs w:val="28"/>
          <w:lang w:val="en-US" w:eastAsia="zh-CN"/>
        </w:rPr>
        <w:t>918.18</w:t>
      </w:r>
      <w:r>
        <w:rPr>
          <w:rStyle w:val="19"/>
          <w:rFonts w:hint="eastAsia" w:ascii="仿宋_GB2312" w:hAnsi="楷体" w:eastAsia="仿宋_GB2312"/>
          <w:b w:val="0"/>
          <w:spacing w:val="-4"/>
          <w:sz w:val="28"/>
          <w:szCs w:val="28"/>
        </w:rPr>
        <w:t>万元，执行率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%，其中：</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（1）基本支出</w:t>
      </w:r>
      <w:r>
        <w:rPr>
          <w:rStyle w:val="19"/>
          <w:rFonts w:hint="eastAsia" w:ascii="仿宋_GB2312" w:hAnsi="楷体" w:eastAsia="仿宋_GB2312"/>
          <w:b w:val="0"/>
          <w:spacing w:val="-4"/>
          <w:sz w:val="28"/>
          <w:szCs w:val="28"/>
          <w:lang w:val="en-US" w:eastAsia="zh-CN"/>
        </w:rPr>
        <w:t>493.21</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53.72</w:t>
      </w:r>
      <w:r>
        <w:rPr>
          <w:rStyle w:val="19"/>
          <w:rFonts w:hint="eastAsia" w:ascii="仿宋_GB2312" w:hAnsi="楷体" w:eastAsia="仿宋_GB2312"/>
          <w:b w:val="0"/>
          <w:spacing w:val="-4"/>
          <w:sz w:val="28"/>
          <w:szCs w:val="28"/>
        </w:rPr>
        <w:t>％，主要用于</w:t>
      </w:r>
      <w:r>
        <w:rPr>
          <w:rStyle w:val="19"/>
          <w:rFonts w:hint="eastAsia" w:ascii="仿宋_GB2312" w:hAnsi="楷体" w:eastAsia="仿宋_GB2312"/>
          <w:b w:val="0"/>
          <w:spacing w:val="-4"/>
          <w:sz w:val="28"/>
          <w:szCs w:val="28"/>
          <w:lang w:eastAsia="zh-CN"/>
        </w:rPr>
        <w:t>特克斯县疾病预防控制中心</w:t>
      </w:r>
      <w:r>
        <w:rPr>
          <w:rStyle w:val="19"/>
          <w:rFonts w:hint="eastAsia" w:ascii="仿宋_GB2312" w:hAnsi="楷体" w:eastAsia="仿宋_GB2312"/>
          <w:b w:val="0"/>
          <w:spacing w:val="-4"/>
          <w:sz w:val="28"/>
          <w:szCs w:val="28"/>
        </w:rPr>
        <w:t>机构正常运转、完成日常工作任务而发生的各项支出。其中：工资福利支出</w:t>
      </w:r>
      <w:r>
        <w:rPr>
          <w:rStyle w:val="19"/>
          <w:rFonts w:hint="eastAsia" w:ascii="仿宋_GB2312" w:hAnsi="楷体" w:eastAsia="仿宋_GB2312"/>
          <w:b w:val="0"/>
          <w:spacing w:val="-4"/>
          <w:sz w:val="28"/>
          <w:szCs w:val="28"/>
          <w:lang w:val="en-US" w:eastAsia="zh-CN"/>
        </w:rPr>
        <w:t>447.02</w:t>
      </w:r>
      <w:r>
        <w:rPr>
          <w:rStyle w:val="19"/>
          <w:rFonts w:hint="eastAsia" w:ascii="仿宋_GB2312" w:hAnsi="楷体" w:eastAsia="仿宋_GB2312"/>
          <w:b w:val="0"/>
          <w:spacing w:val="-4"/>
          <w:sz w:val="28"/>
          <w:szCs w:val="28"/>
        </w:rPr>
        <w:t>万元，主要用于在职和离退休人员基本工资、津贴补贴等人员经费。商品和服务支出</w:t>
      </w:r>
      <w:r>
        <w:rPr>
          <w:rStyle w:val="19"/>
          <w:rFonts w:hint="eastAsia" w:ascii="仿宋_GB2312" w:hAnsi="楷体" w:eastAsia="仿宋_GB2312"/>
          <w:b w:val="0"/>
          <w:spacing w:val="-4"/>
          <w:sz w:val="28"/>
          <w:szCs w:val="28"/>
          <w:lang w:val="en-US" w:eastAsia="zh-CN"/>
        </w:rPr>
        <w:t>37.27</w:t>
      </w:r>
      <w:r>
        <w:rPr>
          <w:rStyle w:val="19"/>
          <w:rFonts w:hint="eastAsia" w:ascii="仿宋_GB2312" w:hAnsi="楷体" w:eastAsia="仿宋_GB2312"/>
          <w:b w:val="0"/>
          <w:spacing w:val="-4"/>
          <w:sz w:val="28"/>
          <w:szCs w:val="28"/>
        </w:rPr>
        <w:t>万元，主要用于办公费、印刷费、水电费、办公设备购置等。对个人和家庭的补助</w:t>
      </w:r>
      <w:r>
        <w:rPr>
          <w:rStyle w:val="19"/>
          <w:rFonts w:hint="eastAsia" w:ascii="仿宋_GB2312" w:hAnsi="楷体" w:eastAsia="仿宋_GB2312"/>
          <w:b w:val="0"/>
          <w:spacing w:val="-4"/>
          <w:sz w:val="28"/>
          <w:szCs w:val="28"/>
          <w:lang w:val="en-US" w:eastAsia="zh-CN"/>
        </w:rPr>
        <w:t>8.92</w:t>
      </w:r>
      <w:r>
        <w:rPr>
          <w:rStyle w:val="19"/>
          <w:rFonts w:hint="eastAsia" w:ascii="仿宋_GB2312" w:hAnsi="楷体" w:eastAsia="仿宋_GB2312"/>
          <w:b w:val="0"/>
          <w:spacing w:val="-4"/>
          <w:sz w:val="28"/>
          <w:szCs w:val="28"/>
        </w:rPr>
        <w:t>万元，主要用于</w:t>
      </w:r>
      <w:r>
        <w:rPr>
          <w:rStyle w:val="19"/>
          <w:rFonts w:hint="eastAsia" w:ascii="仿宋_GB2312" w:hAnsi="楷体" w:eastAsia="仿宋_GB2312"/>
          <w:b w:val="0"/>
          <w:spacing w:val="-4"/>
          <w:sz w:val="28"/>
          <w:szCs w:val="28"/>
          <w:lang w:eastAsia="zh-CN"/>
        </w:rPr>
        <w:t>退休人员取暖费、退休人员大病医疗保险金、退休人员独生子女费、公益性岗位人员补贴</w:t>
      </w:r>
      <w:r>
        <w:rPr>
          <w:rStyle w:val="19"/>
          <w:rFonts w:hint="eastAsia" w:ascii="仿宋_GB2312" w:hAnsi="楷体" w:eastAsia="仿宋_GB2312"/>
          <w:b w:val="0"/>
          <w:spacing w:val="-4"/>
          <w:sz w:val="28"/>
          <w:szCs w:val="28"/>
        </w:rPr>
        <w:t>。资本性支出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万元，主要用于</w:t>
      </w:r>
      <w:r>
        <w:rPr>
          <w:rStyle w:val="19"/>
          <w:rFonts w:hint="eastAsia" w:ascii="仿宋_GB2312" w:hAnsi="楷体" w:eastAsia="仿宋_GB2312"/>
          <w:b w:val="0"/>
          <w:spacing w:val="-4"/>
          <w:sz w:val="28"/>
          <w:szCs w:val="28"/>
          <w:lang w:eastAsia="zh-CN"/>
        </w:rPr>
        <w:t>无</w:t>
      </w:r>
      <w:r>
        <w:rPr>
          <w:rStyle w:val="19"/>
          <w:rFonts w:hint="eastAsia" w:ascii="仿宋_GB2312" w:hAnsi="楷体" w:eastAsia="仿宋_GB2312"/>
          <w:b w:val="0"/>
          <w:spacing w:val="-4"/>
          <w:sz w:val="28"/>
          <w:szCs w:val="28"/>
        </w:rPr>
        <w:t xml:space="preserve">。 </w:t>
      </w:r>
      <w:r>
        <w:rPr>
          <w:rStyle w:val="19"/>
          <w:rFonts w:ascii="仿宋_GB2312" w:hAnsi="楷体" w:eastAsia="仿宋_GB2312"/>
          <w:b w:val="0"/>
          <w:spacing w:val="-4"/>
          <w:sz w:val="28"/>
          <w:szCs w:val="28"/>
        </w:rPr>
        <w:t xml:space="preserve"> </w:t>
      </w:r>
    </w:p>
    <w:p>
      <w:pPr>
        <w:pStyle w:val="15"/>
        <w:widowControl/>
        <w:spacing w:before="40" w:beforeAutospacing="0" w:after="0" w:afterAutospacing="0" w:line="520" w:lineRule="atLeast"/>
        <w:ind w:firstLine="544" w:firstLineChars="200"/>
        <w:jc w:val="both"/>
        <w:rPr>
          <w:rStyle w:val="19"/>
          <w:rFonts w:hint="eastAsia" w:ascii="仿宋_GB2312" w:hAnsi="楷体" w:eastAsia="仿宋_GB2312" w:cs="Times New Roman"/>
          <w:b w:val="0"/>
          <w:spacing w:val="-4"/>
          <w:sz w:val="28"/>
          <w:szCs w:val="28"/>
        </w:rPr>
      </w:pP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2</w:t>
      </w:r>
      <w:r>
        <w:rPr>
          <w:rStyle w:val="19"/>
          <w:rFonts w:hint="eastAsia" w:ascii="仿宋_GB2312" w:hAnsi="楷体" w:eastAsia="仿宋_GB2312"/>
          <w:b w:val="0"/>
          <w:spacing w:val="-4"/>
          <w:sz w:val="28"/>
          <w:szCs w:val="28"/>
        </w:rPr>
        <w:t>）项目支出</w:t>
      </w:r>
      <w:r>
        <w:rPr>
          <w:rStyle w:val="19"/>
          <w:rFonts w:hint="eastAsia" w:ascii="仿宋_GB2312" w:hAnsi="楷体" w:eastAsia="仿宋_GB2312"/>
          <w:b w:val="0"/>
          <w:spacing w:val="-4"/>
          <w:sz w:val="28"/>
          <w:szCs w:val="28"/>
          <w:lang w:val="en-US" w:eastAsia="zh-CN"/>
        </w:rPr>
        <w:t>424.97</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46.28</w:t>
      </w:r>
      <w:r>
        <w:rPr>
          <w:rStyle w:val="19"/>
          <w:rFonts w:hint="eastAsia" w:ascii="仿宋_GB2312" w:hAnsi="楷体" w:eastAsia="仿宋_GB2312"/>
          <w:b w:val="0"/>
          <w:spacing w:val="-4"/>
          <w:sz w:val="28"/>
          <w:szCs w:val="28"/>
        </w:rPr>
        <w:t>％。其中：</w:t>
      </w:r>
      <w:r>
        <w:rPr>
          <w:rStyle w:val="19"/>
          <w:rFonts w:hint="eastAsia" w:ascii="仿宋_GB2312" w:hAnsi="楷体" w:eastAsia="仿宋_GB2312"/>
          <w:b w:val="0"/>
          <w:spacing w:val="-4"/>
          <w:sz w:val="28"/>
          <w:szCs w:val="28"/>
          <w:lang w:eastAsia="zh-CN"/>
        </w:rPr>
        <w:t>基本公共卫生服务</w:t>
      </w:r>
      <w:r>
        <w:rPr>
          <w:rStyle w:val="19"/>
          <w:rFonts w:hint="eastAsia" w:ascii="仿宋_GB2312" w:hAnsi="楷体" w:eastAsia="仿宋_GB2312"/>
          <w:b w:val="0"/>
          <w:spacing w:val="-4"/>
          <w:sz w:val="28"/>
          <w:szCs w:val="28"/>
        </w:rPr>
        <w:t>项目安排</w:t>
      </w:r>
      <w:r>
        <w:rPr>
          <w:rStyle w:val="19"/>
          <w:rFonts w:hint="eastAsia" w:ascii="仿宋_GB2312" w:hAnsi="楷体" w:eastAsia="仿宋_GB2312"/>
          <w:b w:val="0"/>
          <w:spacing w:val="-4"/>
          <w:sz w:val="28"/>
          <w:szCs w:val="28"/>
          <w:lang w:val="en-US" w:eastAsia="zh-CN"/>
        </w:rPr>
        <w:t>167.42</w:t>
      </w:r>
      <w:r>
        <w:rPr>
          <w:rStyle w:val="19"/>
          <w:rFonts w:hint="eastAsia" w:ascii="仿宋_GB2312" w:hAnsi="楷体" w:eastAsia="仿宋_GB2312"/>
          <w:b w:val="0"/>
          <w:spacing w:val="-4"/>
          <w:sz w:val="28"/>
          <w:szCs w:val="28"/>
        </w:rPr>
        <w:t>万元，主要用于完成</w:t>
      </w:r>
      <w:r>
        <w:rPr>
          <w:rStyle w:val="19"/>
          <w:rFonts w:hint="eastAsia" w:ascii="仿宋_GB2312" w:hAnsi="楷体" w:eastAsia="仿宋_GB2312" w:cs="Times New Roman"/>
          <w:b w:val="0"/>
          <w:spacing w:val="-4"/>
          <w:sz w:val="28"/>
          <w:szCs w:val="28"/>
        </w:rPr>
        <w:t>继续做好免疫规划疫苗常规接种工作，及时对受新冠肺炎疫情影响漏种疫苗进行补种、常规免疫接种和入托入学接种证查验，提高疫苗接种率，防止疫苗可预防传染病的暴发流行 ，督促各级医疗单位做好传染病的上报工作，提高传染病监测信息的及时报告率、及时审核率和有效证件填写完整率，进一步提高传染病网络直报工作综合质量。严格按照《2020年伊犁州结核病防治专项行动工作方案》《2020年特克斯县结核病防治专项行动工作方案》要求，及时开展各项结核病防治专项行动工作，认真落实“集中服药+营养早餐”活动，加强对各乡镇结核病防治的指导力度，规范患者的治疗，实行定点医院全面落实传染性肺结核患者隔离治疗制度。</w:t>
      </w:r>
    </w:p>
    <w:p>
      <w:pPr>
        <w:pStyle w:val="15"/>
        <w:widowControl/>
        <w:spacing w:before="40" w:beforeAutospacing="0" w:after="0" w:afterAutospacing="0" w:line="520" w:lineRule="atLeast"/>
        <w:ind w:firstLine="544" w:firstLineChars="200"/>
        <w:jc w:val="both"/>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重大公共卫生服务</w:t>
      </w:r>
      <w:r>
        <w:rPr>
          <w:rStyle w:val="19"/>
          <w:rFonts w:hint="eastAsia" w:ascii="仿宋_GB2312" w:hAnsi="楷体" w:eastAsia="仿宋_GB2312" w:cs="Times New Roman"/>
          <w:b w:val="0"/>
          <w:spacing w:val="-4"/>
          <w:sz w:val="28"/>
          <w:szCs w:val="28"/>
        </w:rPr>
        <w:t>项目安排</w:t>
      </w:r>
      <w:r>
        <w:rPr>
          <w:rStyle w:val="19"/>
          <w:rFonts w:hint="eastAsia" w:ascii="仿宋_GB2312" w:hAnsi="楷体" w:eastAsia="仿宋_GB2312" w:cs="Times New Roman"/>
          <w:b w:val="0"/>
          <w:spacing w:val="-4"/>
          <w:sz w:val="28"/>
          <w:szCs w:val="28"/>
          <w:lang w:val="en-US" w:eastAsia="zh-CN"/>
        </w:rPr>
        <w:t>50.55</w:t>
      </w:r>
      <w:r>
        <w:rPr>
          <w:rStyle w:val="19"/>
          <w:rFonts w:hint="eastAsia" w:ascii="仿宋_GB2312" w:hAnsi="楷体" w:eastAsia="仿宋_GB2312" w:cs="Times New Roman"/>
          <w:b w:val="0"/>
          <w:spacing w:val="-4"/>
          <w:sz w:val="28"/>
          <w:szCs w:val="28"/>
        </w:rPr>
        <w:t>万元，主要用于完成加强对艾滋病患者的随访力度，做好病人的</w:t>
      </w:r>
      <w:r>
        <w:rPr>
          <w:rStyle w:val="19"/>
          <w:rFonts w:hint="eastAsia" w:ascii="仿宋_GB2312" w:hAnsi="楷体" w:eastAsia="仿宋_GB2312" w:cs="Times New Roman"/>
          <w:b w:val="0"/>
          <w:spacing w:val="-4"/>
          <w:sz w:val="28"/>
          <w:szCs w:val="28"/>
          <w:lang w:eastAsia="zh-CN"/>
        </w:rPr>
        <w:t>依从性教育，提高抗病毒治疗率，提高艾滋病的检测能力，做好宣传教育工作，继续加强艾滋病的筛查工作。做好包虫病、高血压、糖尿病及严重精神障碍患者的健康教育、筛查、治疗、随访等各项工作，加大疾病的发现率，提高疾病治愈率。</w:t>
      </w:r>
    </w:p>
    <w:p>
      <w:pPr>
        <w:pStyle w:val="15"/>
        <w:widowControl/>
        <w:spacing w:before="40" w:beforeAutospacing="0" w:after="0" w:afterAutospacing="0" w:line="520" w:lineRule="atLeast"/>
        <w:ind w:firstLine="544" w:firstLineChars="200"/>
        <w:jc w:val="both"/>
        <w:rPr>
          <w:rStyle w:val="19"/>
          <w:rFonts w:hint="eastAsia" w:ascii="仿宋_GB2312" w:hAnsi="楷体" w:eastAsia="仿宋_GB2312"/>
          <w:b w:val="0"/>
          <w:spacing w:val="-4"/>
          <w:sz w:val="28"/>
          <w:szCs w:val="28"/>
        </w:rPr>
      </w:pPr>
      <w:r>
        <w:rPr>
          <w:rStyle w:val="19"/>
          <w:rFonts w:hint="eastAsia" w:ascii="仿宋_GB2312" w:hAnsi="楷体" w:eastAsia="仿宋_GB2312"/>
          <w:b w:val="0"/>
          <w:spacing w:val="-4"/>
          <w:sz w:val="28"/>
          <w:szCs w:val="28"/>
          <w:lang w:eastAsia="zh-CN"/>
        </w:rPr>
        <w:t>突发公共卫生事件应急处理</w:t>
      </w:r>
      <w:r>
        <w:rPr>
          <w:rStyle w:val="19"/>
          <w:rFonts w:hint="eastAsia" w:ascii="仿宋_GB2312" w:hAnsi="楷体" w:eastAsia="仿宋_GB2312"/>
          <w:b w:val="0"/>
          <w:spacing w:val="-4"/>
          <w:sz w:val="28"/>
          <w:szCs w:val="28"/>
        </w:rPr>
        <w:t>项目安排</w:t>
      </w:r>
      <w:r>
        <w:rPr>
          <w:rStyle w:val="19"/>
          <w:rFonts w:hint="eastAsia" w:ascii="仿宋_GB2312" w:hAnsi="楷体" w:eastAsia="仿宋_GB2312"/>
          <w:b w:val="0"/>
          <w:spacing w:val="-4"/>
          <w:sz w:val="28"/>
          <w:szCs w:val="28"/>
          <w:lang w:val="en-US" w:eastAsia="zh-CN"/>
        </w:rPr>
        <w:t>1</w:t>
      </w:r>
      <w:r>
        <w:rPr>
          <w:rStyle w:val="19"/>
          <w:rFonts w:hint="eastAsia" w:ascii="仿宋_GB2312" w:hAnsi="楷体" w:eastAsia="仿宋_GB2312"/>
          <w:b w:val="0"/>
          <w:spacing w:val="-4"/>
          <w:sz w:val="28"/>
          <w:szCs w:val="28"/>
        </w:rPr>
        <w:t>万元，主要用于完成</w:t>
      </w:r>
      <w:r>
        <w:rPr>
          <w:rStyle w:val="19"/>
          <w:rFonts w:hint="eastAsia" w:ascii="仿宋_GB2312" w:hAnsi="楷体" w:eastAsia="仿宋_GB2312"/>
          <w:b w:val="0"/>
          <w:spacing w:val="-4"/>
          <w:sz w:val="28"/>
          <w:szCs w:val="28"/>
          <w:lang w:eastAsia="zh-CN"/>
        </w:rPr>
        <w:t>保障车辆运行</w:t>
      </w:r>
      <w:r>
        <w:rPr>
          <w:rStyle w:val="19"/>
          <w:rFonts w:hint="eastAsia" w:ascii="仿宋_GB2312" w:hAnsi="楷体" w:eastAsia="仿宋_GB2312"/>
          <w:b w:val="0"/>
          <w:spacing w:val="-4"/>
          <w:sz w:val="28"/>
          <w:szCs w:val="28"/>
        </w:rPr>
        <w:t>。</w:t>
      </w:r>
    </w:p>
    <w:p>
      <w:pPr>
        <w:numPr>
          <w:ilvl w:val="0"/>
          <w:numId w:val="0"/>
        </w:num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cs="Times New Roman"/>
          <w:b w:val="0"/>
          <w:spacing w:val="-4"/>
          <w:sz w:val="28"/>
          <w:szCs w:val="28"/>
          <w:lang w:eastAsia="zh-CN"/>
        </w:rPr>
        <w:t>其他公共卫生支出项目安排</w:t>
      </w:r>
      <w:r>
        <w:rPr>
          <w:rStyle w:val="19"/>
          <w:rFonts w:hint="eastAsia" w:ascii="仿宋_GB2312" w:hAnsi="楷体" w:eastAsia="仿宋_GB2312" w:cs="Times New Roman"/>
          <w:b w:val="0"/>
          <w:spacing w:val="-4"/>
          <w:sz w:val="28"/>
          <w:szCs w:val="28"/>
          <w:lang w:val="en-US" w:eastAsia="zh-CN"/>
        </w:rPr>
        <w:t>206</w:t>
      </w:r>
      <w:r>
        <w:rPr>
          <w:rStyle w:val="19"/>
          <w:rFonts w:hint="eastAsia" w:ascii="仿宋_GB2312" w:hAnsi="楷体" w:eastAsia="仿宋_GB2312" w:cs="Times New Roman"/>
          <w:b w:val="0"/>
          <w:spacing w:val="-4"/>
          <w:sz w:val="28"/>
          <w:szCs w:val="28"/>
          <w:lang w:eastAsia="zh-CN"/>
        </w:rPr>
        <w:t>万元，主要用于</w:t>
      </w:r>
      <w:r>
        <w:rPr>
          <w:rStyle w:val="19"/>
          <w:rFonts w:hint="default" w:ascii="仿宋_GB2312" w:hAnsi="楷体" w:eastAsia="仿宋_GB2312"/>
          <w:b w:val="0"/>
          <w:spacing w:val="-4"/>
          <w:sz w:val="28"/>
          <w:szCs w:val="28"/>
          <w:lang w:val="en-US" w:eastAsia="zh-CN"/>
        </w:rPr>
        <w:t>加强疾病预防控制机构能力建设。设备购置成本</w:t>
      </w:r>
      <w:r>
        <w:rPr>
          <w:rStyle w:val="19"/>
          <w:rFonts w:hint="eastAsia" w:ascii="仿宋_GB2312" w:hAnsi="楷体" w:eastAsia="仿宋_GB2312"/>
          <w:b w:val="0"/>
          <w:spacing w:val="-4"/>
          <w:sz w:val="28"/>
          <w:szCs w:val="28"/>
          <w:lang w:val="en-US" w:eastAsia="zh-CN"/>
        </w:rPr>
        <w:t>60%，项目覆盖县区级疾控机构基本检验能力较上年提升比例10%，购置质量验收合格率100%。</w:t>
      </w:r>
      <w:r>
        <w:rPr>
          <w:rStyle w:val="19"/>
          <w:rFonts w:hint="default" w:ascii="仿宋_GB2312" w:hAnsi="楷体" w:eastAsia="仿宋_GB2312"/>
          <w:b w:val="0"/>
          <w:spacing w:val="-4"/>
          <w:sz w:val="28"/>
          <w:szCs w:val="28"/>
          <w:lang w:val="en-US" w:eastAsia="zh-CN"/>
        </w:rPr>
        <w:t>贯彻落实预防为主和以基层为重点的卫生健康工作方针。加强县级疾控机构能力建设，完善公共卫生实验室网络体系，提升疾控机构实验室装备水平，提高人员队伍能力，全面提升疾控中心在疾病监测预警防范、健康危害因素分析评价，补齐疫情防控工作中存在的短板弱项，着力抓重点、攻难点、强弱项、补短板，提高项目覆盖地区传染病、地方病、慢性病、环境卫生、学校卫生等工作能力水平。</w:t>
      </w:r>
    </w:p>
    <w:p>
      <w:pPr>
        <w:spacing w:line="360" w:lineRule="auto"/>
        <w:ind w:firstLine="544" w:firstLineChars="200"/>
        <w:rPr>
          <w:rStyle w:val="19"/>
          <w:rFonts w:asciiTheme="minorEastAsia" w:hAnsiTheme="minorEastAsia"/>
          <w:bCs w:val="0"/>
          <w:color w:val="FF0000"/>
          <w:spacing w:val="-4"/>
          <w:sz w:val="28"/>
          <w:szCs w:val="28"/>
          <w:highlight w:val="none"/>
        </w:rPr>
      </w:pPr>
      <w:r>
        <w:rPr>
          <w:rStyle w:val="19"/>
          <w:rFonts w:hint="eastAsia" w:ascii="仿宋_GB2312" w:hAnsi="楷体" w:eastAsia="仿宋_GB2312"/>
          <w:b w:val="0"/>
          <w:spacing w:val="-4"/>
          <w:sz w:val="28"/>
          <w:szCs w:val="28"/>
          <w:highlight w:val="none"/>
        </w:rPr>
        <w:t>（</w:t>
      </w:r>
      <w:r>
        <w:rPr>
          <w:rStyle w:val="19"/>
          <w:rFonts w:ascii="仿宋_GB2312" w:hAnsi="楷体" w:eastAsia="仿宋_GB2312"/>
          <w:b w:val="0"/>
          <w:spacing w:val="-4"/>
          <w:sz w:val="28"/>
          <w:szCs w:val="28"/>
          <w:highlight w:val="none"/>
        </w:rPr>
        <w:t>3</w:t>
      </w:r>
      <w:r>
        <w:rPr>
          <w:rStyle w:val="19"/>
          <w:rFonts w:hint="eastAsia" w:ascii="仿宋_GB2312" w:hAnsi="楷体" w:eastAsia="仿宋_GB2312"/>
          <w:b w:val="0"/>
          <w:spacing w:val="-4"/>
          <w:sz w:val="28"/>
          <w:szCs w:val="28"/>
          <w:highlight w:val="none"/>
        </w:rPr>
        <w:t>）本年度重点项目支出</w:t>
      </w:r>
      <w:r>
        <w:rPr>
          <w:rStyle w:val="19"/>
          <w:rFonts w:hint="eastAsia" w:ascii="仿宋_GB2312" w:hAnsi="楷体" w:eastAsia="仿宋_GB2312" w:cs="Times New Roman"/>
          <w:b w:val="0"/>
          <w:spacing w:val="-4"/>
          <w:sz w:val="28"/>
          <w:szCs w:val="28"/>
          <w:highlight w:val="none"/>
          <w:lang w:val="en-US" w:eastAsia="zh-CN"/>
        </w:rPr>
        <w:t>50.55</w:t>
      </w:r>
      <w:r>
        <w:rPr>
          <w:rStyle w:val="19"/>
          <w:rFonts w:hint="eastAsia" w:ascii="仿宋_GB2312" w:hAnsi="楷体" w:eastAsia="仿宋_GB2312"/>
          <w:b w:val="0"/>
          <w:spacing w:val="-4"/>
          <w:sz w:val="28"/>
          <w:szCs w:val="28"/>
          <w:highlight w:val="none"/>
        </w:rPr>
        <w:t>万元，重点支出保障率</w:t>
      </w:r>
      <w:r>
        <w:rPr>
          <w:rStyle w:val="19"/>
          <w:rFonts w:hint="eastAsia" w:ascii="仿宋_GB2312" w:hAnsi="楷体" w:eastAsia="仿宋_GB2312"/>
          <w:b w:val="0"/>
          <w:spacing w:val="-4"/>
          <w:sz w:val="28"/>
          <w:szCs w:val="28"/>
          <w:highlight w:val="none"/>
          <w:lang w:val="en-US" w:eastAsia="zh-CN"/>
        </w:rPr>
        <w:t>11.89</w:t>
      </w:r>
      <w:r>
        <w:rPr>
          <w:rStyle w:val="19"/>
          <w:rFonts w:hint="eastAsia" w:ascii="仿宋_GB2312" w:hAnsi="楷体" w:eastAsia="仿宋_GB2312"/>
          <w:b w:val="0"/>
          <w:spacing w:val="-4"/>
          <w:sz w:val="28"/>
          <w:szCs w:val="28"/>
          <w:highlight w:val="none"/>
        </w:rPr>
        <w:t>%。其中重点保障项目是</w:t>
      </w:r>
      <w:r>
        <w:rPr>
          <w:rStyle w:val="19"/>
          <w:rFonts w:hint="eastAsia" w:ascii="仿宋_GB2312" w:hAnsi="楷体" w:eastAsia="仿宋_GB2312" w:cs="Times New Roman"/>
          <w:b w:val="0"/>
          <w:spacing w:val="-4"/>
          <w:sz w:val="28"/>
          <w:szCs w:val="28"/>
          <w:highlight w:val="none"/>
          <w:lang w:eastAsia="zh-CN"/>
        </w:rPr>
        <w:t>重大公共卫生服务</w:t>
      </w:r>
      <w:r>
        <w:rPr>
          <w:rStyle w:val="19"/>
          <w:rFonts w:hint="eastAsia" w:ascii="仿宋_GB2312" w:hAnsi="楷体" w:eastAsia="仿宋_GB2312" w:cs="Times New Roman"/>
          <w:b w:val="0"/>
          <w:spacing w:val="-4"/>
          <w:sz w:val="28"/>
          <w:szCs w:val="28"/>
          <w:highlight w:val="none"/>
        </w:rPr>
        <w:t>项目</w:t>
      </w:r>
      <w:r>
        <w:rPr>
          <w:rStyle w:val="19"/>
          <w:rFonts w:hint="eastAsia" w:ascii="仿宋_GB2312" w:hAnsi="楷体" w:eastAsia="仿宋_GB2312"/>
          <w:b w:val="0"/>
          <w:spacing w:val="-4"/>
          <w:sz w:val="28"/>
          <w:szCs w:val="28"/>
          <w:highlight w:val="none"/>
        </w:rPr>
        <w:t>。</w:t>
      </w:r>
    </w:p>
    <w:p>
      <w:pPr>
        <w:spacing w:line="360" w:lineRule="auto"/>
        <w:ind w:firstLine="544" w:firstLineChars="200"/>
        <w:rPr>
          <w:rStyle w:val="19"/>
          <w:rFonts w:hint="eastAsia" w:ascii="仿宋_GB2312" w:hAnsi="楷体" w:eastAsia="仿宋_GB2312"/>
          <w:b w:val="0"/>
          <w:spacing w:val="-4"/>
          <w:sz w:val="32"/>
          <w:szCs w:val="32"/>
          <w:lang w:eastAsia="zh-CN"/>
        </w:rPr>
      </w:pPr>
      <w:r>
        <w:rPr>
          <w:rStyle w:val="19"/>
          <w:rFonts w:hint="eastAsia" w:ascii="仿宋_GB2312" w:hAnsi="楷体" w:eastAsia="仿宋_GB2312"/>
          <w:b w:val="0"/>
          <w:spacing w:val="-4"/>
          <w:sz w:val="28"/>
          <w:szCs w:val="28"/>
        </w:rPr>
        <w:t>（4）本年度</w:t>
      </w:r>
      <w:r>
        <w:rPr>
          <w:rStyle w:val="19"/>
          <w:rFonts w:hint="eastAsia" w:ascii="仿宋_GB2312" w:hAnsi="楷体" w:eastAsia="仿宋_GB2312"/>
          <w:b w:val="0"/>
          <w:spacing w:val="-4"/>
          <w:sz w:val="28"/>
          <w:szCs w:val="28"/>
          <w:lang w:eastAsia="zh-CN"/>
        </w:rPr>
        <w:t>特克斯县疾病预防控制中心</w:t>
      </w:r>
      <w:r>
        <w:rPr>
          <w:rStyle w:val="19"/>
          <w:rFonts w:hint="eastAsia" w:ascii="仿宋_GB2312" w:hAnsi="楷体" w:eastAsia="仿宋_GB2312"/>
          <w:b w:val="0"/>
          <w:spacing w:val="-4"/>
          <w:sz w:val="28"/>
          <w:szCs w:val="28"/>
          <w:lang w:val="en-US" w:eastAsia="zh-CN"/>
        </w:rPr>
        <w:t>全年</w:t>
      </w:r>
      <w:r>
        <w:rPr>
          <w:rStyle w:val="19"/>
          <w:rFonts w:hint="eastAsia" w:ascii="仿宋_GB2312" w:hAnsi="楷体" w:eastAsia="仿宋_GB2312"/>
          <w:b w:val="0"/>
          <w:spacing w:val="-4"/>
          <w:sz w:val="28"/>
          <w:szCs w:val="28"/>
        </w:rPr>
        <w:t>政府采购预算</w:t>
      </w:r>
      <w:r>
        <w:rPr>
          <w:rStyle w:val="19"/>
          <w:rFonts w:hint="eastAsia" w:ascii="仿宋_GB2312" w:hAnsi="楷体" w:eastAsia="仿宋_GB2312"/>
          <w:b w:val="0"/>
          <w:spacing w:val="-4"/>
          <w:sz w:val="28"/>
          <w:szCs w:val="28"/>
          <w:lang w:val="en-US" w:eastAsia="zh-CN"/>
        </w:rPr>
        <w:t>322.43</w:t>
      </w:r>
      <w:r>
        <w:rPr>
          <w:rStyle w:val="19"/>
          <w:rFonts w:hint="eastAsia" w:ascii="仿宋_GB2312" w:hAnsi="楷体" w:eastAsia="仿宋_GB2312"/>
          <w:b w:val="0"/>
          <w:spacing w:val="-4"/>
          <w:sz w:val="28"/>
          <w:szCs w:val="28"/>
        </w:rPr>
        <w:t>万元,实际用于政府采购金额</w:t>
      </w:r>
      <w:r>
        <w:rPr>
          <w:rStyle w:val="19"/>
          <w:rFonts w:hint="eastAsia" w:ascii="仿宋_GB2312" w:hAnsi="楷体" w:eastAsia="仿宋_GB2312"/>
          <w:b w:val="0"/>
          <w:spacing w:val="-4"/>
          <w:sz w:val="28"/>
          <w:szCs w:val="28"/>
          <w:lang w:val="en-US" w:eastAsia="zh-CN"/>
        </w:rPr>
        <w:t>322.43</w:t>
      </w:r>
      <w:r>
        <w:rPr>
          <w:rStyle w:val="19"/>
          <w:rFonts w:hint="eastAsia" w:ascii="仿宋_GB2312" w:hAnsi="楷体" w:eastAsia="仿宋_GB2312"/>
          <w:b w:val="0"/>
          <w:spacing w:val="-4"/>
          <w:sz w:val="28"/>
          <w:szCs w:val="28"/>
        </w:rPr>
        <w:t>万元，采购执行率</w:t>
      </w:r>
      <w:r>
        <w:rPr>
          <w:rStyle w:val="19"/>
          <w:rFonts w:hint="eastAsia" w:ascii="仿宋_GB2312" w:hAnsi="宋体" w:eastAsia="仿宋_GB2312"/>
          <w:b w:val="0"/>
          <w:bCs w:val="0"/>
          <w:spacing w:val="-4"/>
          <w:sz w:val="28"/>
          <w:szCs w:val="28"/>
          <w:lang w:val="en-US" w:eastAsia="zh-CN"/>
        </w:rPr>
        <w:t>100</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eastAsia="zh-CN"/>
        </w:rPr>
        <w:t>。</w:t>
      </w:r>
    </w:p>
    <w:p>
      <w:pPr>
        <w:pStyle w:val="6"/>
        <w:spacing w:line="360" w:lineRule="auto"/>
        <w:ind w:firstLine="562" w:firstLineChars="200"/>
        <w:rPr>
          <w:rStyle w:val="19"/>
          <w:rFonts w:ascii="仿宋" w:hAnsi="仿宋" w:eastAsia="仿宋"/>
          <w:b/>
          <w:bCs/>
        </w:rPr>
      </w:pPr>
      <w:bookmarkStart w:id="9" w:name="_Toc70450296"/>
      <w:r>
        <w:rPr>
          <w:rStyle w:val="19"/>
          <w:rFonts w:ascii="仿宋" w:hAnsi="仿宋" w:eastAsia="仿宋"/>
          <w:b/>
          <w:bCs/>
        </w:rPr>
        <w:t>2</w:t>
      </w:r>
      <w:r>
        <w:rPr>
          <w:rStyle w:val="19"/>
          <w:rFonts w:hint="eastAsia" w:ascii="仿宋" w:hAnsi="仿宋" w:eastAsia="仿宋"/>
          <w:b/>
          <w:bCs/>
        </w:rPr>
        <w:t>、整体支出评价使用方法和主要内容、涉及对象及范围等</w:t>
      </w:r>
      <w:bookmarkEnd w:id="9"/>
    </w:p>
    <w:p>
      <w:pPr>
        <w:spacing w:line="360" w:lineRule="auto"/>
        <w:ind w:firstLine="560" w:firstLineChars="200"/>
        <w:rPr>
          <w:rStyle w:val="19"/>
          <w:rFonts w:hint="eastAsia" w:ascii="仿宋_GB2312" w:eastAsia="仿宋_GB2312"/>
          <w:b w:val="0"/>
          <w:bCs w:val="0"/>
          <w:sz w:val="28"/>
          <w:szCs w:val="36"/>
        </w:rPr>
      </w:pPr>
      <w:r>
        <w:rPr>
          <w:rFonts w:hint="eastAsia" w:ascii="仿宋_GB2312" w:eastAsia="仿宋_GB2312"/>
          <w:sz w:val="28"/>
          <w:szCs w:val="36"/>
        </w:rPr>
        <w:t>（1）</w:t>
      </w:r>
      <w:r>
        <w:rPr>
          <w:rStyle w:val="19"/>
          <w:rFonts w:hint="eastAsia" w:ascii="仿宋_GB2312" w:eastAsia="仿宋_GB2312"/>
          <w:b w:val="0"/>
          <w:bCs w:val="0"/>
          <w:sz w:val="28"/>
          <w:szCs w:val="36"/>
        </w:rPr>
        <w:t>整体支出评价使用方法</w:t>
      </w:r>
    </w:p>
    <w:p>
      <w:pPr>
        <w:spacing w:line="360" w:lineRule="auto"/>
        <w:ind w:firstLine="560" w:firstLineChars="200"/>
        <w:rPr>
          <w:rStyle w:val="19"/>
          <w:rFonts w:hint="eastAsia" w:ascii="仿宋_GB2312" w:eastAsia="仿宋_GB2312"/>
          <w:b w:val="0"/>
          <w:bCs w:val="0"/>
          <w:sz w:val="28"/>
          <w:szCs w:val="36"/>
          <w:lang w:eastAsia="zh-CN"/>
        </w:rPr>
      </w:pPr>
      <w:r>
        <w:rPr>
          <w:rStyle w:val="19"/>
          <w:rFonts w:hint="eastAsia" w:ascii="仿宋_GB2312" w:eastAsia="仿宋_GB2312"/>
          <w:b w:val="0"/>
          <w:bCs w:val="0"/>
          <w:sz w:val="28"/>
          <w:szCs w:val="36"/>
        </w:rPr>
        <w:t>本次项目支出绩效自评采用</w:t>
      </w:r>
      <w:r>
        <w:rPr>
          <w:rStyle w:val="19"/>
          <w:rFonts w:hint="eastAsia" w:ascii="仿宋_GB2312" w:eastAsia="仿宋_GB2312"/>
          <w:b w:val="0"/>
          <w:bCs w:val="0"/>
          <w:sz w:val="28"/>
          <w:szCs w:val="36"/>
          <w:lang w:eastAsia="zh-CN"/>
        </w:rPr>
        <w:t>因素分析法</w:t>
      </w:r>
      <w:r>
        <w:rPr>
          <w:rStyle w:val="19"/>
          <w:rFonts w:hint="eastAsia" w:ascii="仿宋_GB2312" w:eastAsia="仿宋_GB2312"/>
          <w:b w:val="0"/>
          <w:bCs w:val="0"/>
          <w:sz w:val="28"/>
          <w:szCs w:val="36"/>
        </w:rPr>
        <w:t>方法，原因是：</w:t>
      </w:r>
      <w:r>
        <w:rPr>
          <w:rStyle w:val="19"/>
          <w:rFonts w:hint="eastAsia" w:ascii="仿宋_GB2312" w:hAnsi="楷体" w:eastAsia="仿宋_GB2312"/>
          <w:b w:val="0"/>
          <w:spacing w:val="-4"/>
          <w:sz w:val="28"/>
          <w:szCs w:val="28"/>
          <w:lang w:eastAsia="zh-CN"/>
        </w:rPr>
        <w:t>特克斯县疾病预防控制中心</w:t>
      </w:r>
      <w:r>
        <w:rPr>
          <w:rStyle w:val="19"/>
          <w:rFonts w:hint="eastAsia" w:ascii="仿宋_GB2312" w:eastAsia="仿宋_GB2312"/>
          <w:b w:val="0"/>
          <w:bCs w:val="0"/>
          <w:sz w:val="28"/>
          <w:szCs w:val="36"/>
          <w:lang w:eastAsia="zh-CN"/>
        </w:rPr>
        <w:t>从数量上确定各因素对分析指标影响方向和影响程度一种方法，运用因素分析法应注意因素关联性、顺序性。</w:t>
      </w:r>
    </w:p>
    <w:p>
      <w:pPr>
        <w:pageBreakBefore w:val="0"/>
        <w:kinsoku/>
        <w:wordWrap/>
        <w:overflowPunct/>
        <w:topLinePunct w:val="0"/>
        <w:autoSpaceDE/>
        <w:autoSpaceDN/>
        <w:bidi w:val="0"/>
        <w:adjustRightInd/>
        <w:spacing w:line="560" w:lineRule="exact"/>
        <w:ind w:firstLine="560" w:firstLineChars="200"/>
        <w:rPr>
          <w:rFonts w:hint="eastAsia" w:ascii="仿宋_GB2312" w:eastAsia="仿宋_GB2312"/>
          <w:sz w:val="28"/>
          <w:szCs w:val="36"/>
        </w:rPr>
      </w:pPr>
      <w:r>
        <w:rPr>
          <w:rFonts w:hint="eastAsia" w:ascii="仿宋_GB2312" w:eastAsia="仿宋_GB2312"/>
          <w:sz w:val="28"/>
          <w:szCs w:val="36"/>
        </w:rPr>
        <w:t>（</w:t>
      </w:r>
      <w:r>
        <w:rPr>
          <w:rFonts w:hint="eastAsia" w:ascii="仿宋_GB2312" w:eastAsia="仿宋_GB2312"/>
          <w:sz w:val="28"/>
          <w:szCs w:val="36"/>
          <w:lang w:val="en-US" w:eastAsia="zh-CN"/>
        </w:rPr>
        <w:t>2</w:t>
      </w:r>
      <w:r>
        <w:rPr>
          <w:rFonts w:hint="eastAsia" w:ascii="仿宋_GB2312" w:eastAsia="仿宋_GB2312"/>
          <w:sz w:val="28"/>
          <w:szCs w:val="36"/>
        </w:rPr>
        <w:t>）整体支出评价涉及对象及范围</w:t>
      </w:r>
    </w:p>
    <w:p>
      <w:pPr>
        <w:pageBreakBefore w:val="0"/>
        <w:kinsoku/>
        <w:wordWrap/>
        <w:overflowPunct/>
        <w:topLinePunct w:val="0"/>
        <w:autoSpaceDE/>
        <w:autoSpaceDN/>
        <w:bidi w:val="0"/>
        <w:adjustRightInd/>
        <w:spacing w:line="560" w:lineRule="exact"/>
        <w:ind w:firstLine="560" w:firstLineChars="200"/>
        <w:rPr>
          <w:rStyle w:val="19"/>
          <w:rFonts w:hint="eastAsia" w:ascii="仿宋_GB2312" w:eastAsia="仿宋_GB2312"/>
          <w:b w:val="0"/>
          <w:bCs w:val="0"/>
          <w:sz w:val="28"/>
          <w:szCs w:val="36"/>
          <w:lang w:eastAsia="zh-CN"/>
        </w:rPr>
      </w:pPr>
      <w:r>
        <w:rPr>
          <w:rStyle w:val="19"/>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w:t>
      </w:r>
      <w:r>
        <w:rPr>
          <w:rFonts w:hint="eastAsia" w:ascii="仿宋_GB2312" w:eastAsia="仿宋_GB2312"/>
          <w:sz w:val="28"/>
          <w:szCs w:val="36"/>
          <w:lang w:val="en-US" w:eastAsia="zh-CN"/>
        </w:rPr>
        <w:t>疾病预防控制中心</w:t>
      </w:r>
      <w:r>
        <w:rPr>
          <w:rFonts w:hint="eastAsia" w:ascii="仿宋_GB2312" w:eastAsia="仿宋_GB2312"/>
          <w:sz w:val="28"/>
          <w:szCs w:val="36"/>
        </w:rPr>
        <w:t>所有财政资金支出活动。</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9"/>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（3）整体支出评价涉及对象及范围</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特克斯县疾病预防控制中心</w:t>
      </w:r>
      <w:r>
        <w:rPr>
          <w:rFonts w:hint="eastAsia" w:ascii="仿宋_GB2312" w:eastAsia="仿宋_GB2312"/>
          <w:sz w:val="28"/>
          <w:szCs w:val="36"/>
        </w:rPr>
        <w:t>所有财政资金支出活动。</w:t>
      </w:r>
    </w:p>
    <w:p>
      <w:pPr>
        <w:spacing w:line="360" w:lineRule="auto"/>
        <w:ind w:firstLine="560" w:firstLineChars="200"/>
        <w:rPr>
          <w:rStyle w:val="19"/>
          <w:rFonts w:hint="eastAsia" w:ascii="仿宋_GB2312" w:eastAsia="仿宋_GB2312"/>
          <w:b w:val="0"/>
          <w:bCs w:val="0"/>
          <w:sz w:val="28"/>
          <w:szCs w:val="36"/>
        </w:rPr>
      </w:pPr>
      <w:r>
        <w:rPr>
          <w:rStyle w:val="19"/>
          <w:rFonts w:hint="eastAsia" w:ascii="仿宋_GB2312" w:eastAsia="仿宋_GB2312"/>
          <w:b w:val="0"/>
          <w:bCs w:val="0"/>
          <w:sz w:val="28"/>
          <w:szCs w:val="36"/>
        </w:rPr>
        <w:t>整体支出评价范围：</w:t>
      </w:r>
    </w:p>
    <w:p>
      <w:pPr>
        <w:spacing w:line="360" w:lineRule="auto"/>
        <w:ind w:firstLine="544" w:firstLineChars="200"/>
        <w:rPr>
          <w:rStyle w:val="19"/>
          <w:rFonts w:hint="eastAsia" w:ascii="仿宋_GB2312" w:hAnsi="楷体" w:eastAsia="仿宋_GB2312"/>
          <w:b w:val="0"/>
          <w:spacing w:val="-4"/>
          <w:sz w:val="28"/>
          <w:szCs w:val="28"/>
          <w:lang w:eastAsia="zh-CN"/>
        </w:rPr>
      </w:pPr>
      <w:r>
        <w:rPr>
          <w:rStyle w:val="19"/>
          <w:rFonts w:ascii="仿宋_GB2312" w:hAnsi="楷体" w:eastAsia="仿宋_GB2312"/>
          <w:b w:val="0"/>
          <w:spacing w:val="-4"/>
          <w:sz w:val="28"/>
          <w:szCs w:val="28"/>
        </w:rPr>
        <w:fldChar w:fldCharType="begin"/>
      </w:r>
      <w:r>
        <w:rPr>
          <w:rStyle w:val="19"/>
          <w:rFonts w:ascii="仿宋_GB2312" w:hAnsi="楷体" w:eastAsia="仿宋_GB2312"/>
          <w:b w:val="0"/>
          <w:spacing w:val="-4"/>
          <w:sz w:val="28"/>
          <w:szCs w:val="28"/>
        </w:rPr>
        <w:instrText xml:space="preserve"> </w:instrText>
      </w:r>
      <w:r>
        <w:rPr>
          <w:rStyle w:val="19"/>
          <w:rFonts w:hint="eastAsia" w:ascii="仿宋_GB2312" w:hAnsi="楷体" w:eastAsia="仿宋_GB2312"/>
          <w:b w:val="0"/>
          <w:spacing w:val="-4"/>
          <w:sz w:val="28"/>
          <w:szCs w:val="28"/>
        </w:rPr>
        <w:instrText xml:space="preserve">= 1 \* GB3</w:instrText>
      </w:r>
      <w:r>
        <w:rPr>
          <w:rStyle w:val="19"/>
          <w:rFonts w:ascii="仿宋_GB2312" w:hAnsi="楷体" w:eastAsia="仿宋_GB2312"/>
          <w:b w:val="0"/>
          <w:spacing w:val="-4"/>
          <w:sz w:val="28"/>
          <w:szCs w:val="28"/>
        </w:rPr>
        <w:instrText xml:space="preserve"> </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①</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基本支出</w:t>
      </w:r>
      <w:r>
        <w:rPr>
          <w:rStyle w:val="19"/>
          <w:rFonts w:hint="eastAsia" w:ascii="仿宋_GB2312" w:hAnsi="楷体" w:eastAsia="仿宋_GB2312"/>
          <w:b w:val="0"/>
          <w:spacing w:val="-4"/>
          <w:sz w:val="28"/>
          <w:szCs w:val="28"/>
          <w:lang w:val="en-US" w:eastAsia="zh-CN"/>
        </w:rPr>
        <w:t>493.21</w:t>
      </w:r>
      <w:r>
        <w:rPr>
          <w:rStyle w:val="19"/>
          <w:rFonts w:hint="eastAsia" w:ascii="仿宋_GB2312" w:hAnsi="楷体" w:eastAsia="仿宋_GB2312"/>
          <w:b w:val="0"/>
          <w:spacing w:val="-4"/>
          <w:sz w:val="28"/>
          <w:szCs w:val="28"/>
        </w:rPr>
        <w:t>万元，其中：工资福利支出、商品和服务支出、对个人和家庭的补助支出</w:t>
      </w:r>
      <w:r>
        <w:rPr>
          <w:rStyle w:val="19"/>
          <w:rFonts w:hint="eastAsia" w:ascii="仿宋_GB2312" w:hAnsi="楷体" w:eastAsia="仿宋_GB2312"/>
          <w:b w:val="0"/>
          <w:spacing w:val="-4"/>
          <w:sz w:val="28"/>
          <w:szCs w:val="28"/>
          <w:lang w:eastAsia="zh-CN"/>
        </w:rPr>
        <w:t>。</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fldChar w:fldCharType="begin"/>
      </w:r>
      <w:r>
        <w:rPr>
          <w:rStyle w:val="19"/>
          <w:rFonts w:ascii="仿宋_GB2312" w:hAnsi="楷体" w:eastAsia="仿宋_GB2312"/>
          <w:b w:val="0"/>
          <w:spacing w:val="-4"/>
          <w:sz w:val="28"/>
          <w:szCs w:val="28"/>
        </w:rPr>
        <w:instrText xml:space="preserve"> </w:instrText>
      </w:r>
      <w:r>
        <w:rPr>
          <w:rStyle w:val="19"/>
          <w:rFonts w:hint="eastAsia" w:ascii="仿宋_GB2312" w:hAnsi="楷体" w:eastAsia="仿宋_GB2312"/>
          <w:b w:val="0"/>
          <w:spacing w:val="-4"/>
          <w:sz w:val="28"/>
          <w:szCs w:val="28"/>
        </w:rPr>
        <w:instrText xml:space="preserve">= 2 \* GB3</w:instrText>
      </w:r>
      <w:r>
        <w:rPr>
          <w:rStyle w:val="19"/>
          <w:rFonts w:ascii="仿宋_GB2312" w:hAnsi="楷体" w:eastAsia="仿宋_GB2312"/>
          <w:b w:val="0"/>
          <w:spacing w:val="-4"/>
          <w:sz w:val="28"/>
          <w:szCs w:val="28"/>
        </w:rPr>
        <w:instrText xml:space="preserve"> </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②</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项目支出</w:t>
      </w:r>
      <w:r>
        <w:rPr>
          <w:rStyle w:val="19"/>
          <w:rFonts w:hint="eastAsia" w:ascii="仿宋_GB2312" w:hAnsi="楷体" w:eastAsia="仿宋_GB2312"/>
          <w:b w:val="0"/>
          <w:spacing w:val="-4"/>
          <w:sz w:val="28"/>
          <w:szCs w:val="28"/>
          <w:lang w:val="en-US" w:eastAsia="zh-CN"/>
        </w:rPr>
        <w:t>424.97</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lang w:val="en-US" w:eastAsia="zh-CN"/>
        </w:rPr>
        <w:t>其中：基本公共卫生服务，重大公共卫生服务，突发公共卫生事件项目，其他公共卫生支出。</w:t>
      </w: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5"/>
        <w:spacing w:line="360" w:lineRule="auto"/>
        <w:rPr>
          <w:rStyle w:val="19"/>
          <w:rFonts w:ascii="仿宋" w:hAnsi="仿宋" w:eastAsia="仿宋"/>
          <w:b/>
          <w:bCs/>
        </w:rPr>
      </w:pPr>
      <w:bookmarkStart w:id="11" w:name="_Toc70450298"/>
      <w:r>
        <w:rPr>
          <w:rStyle w:val="19"/>
          <w:rFonts w:hint="eastAsia" w:ascii="仿宋" w:hAnsi="仿宋" w:eastAsia="仿宋"/>
          <w:b/>
          <w:bCs/>
        </w:rPr>
        <w:t>（一）预算管理</w:t>
      </w:r>
      <w:bookmarkEnd w:id="11"/>
    </w:p>
    <w:p>
      <w:pPr>
        <w:pStyle w:val="6"/>
        <w:spacing w:line="360" w:lineRule="auto"/>
        <w:ind w:firstLine="562" w:firstLineChars="200"/>
        <w:rPr>
          <w:rStyle w:val="19"/>
          <w:rFonts w:ascii="仿宋" w:hAnsi="仿宋" w:eastAsia="仿宋"/>
          <w:b/>
          <w:bCs/>
        </w:rPr>
      </w:pPr>
      <w:bookmarkStart w:id="12" w:name="_Toc70450299"/>
      <w:r>
        <w:rPr>
          <w:rStyle w:val="19"/>
          <w:rFonts w:ascii="仿宋" w:hAnsi="仿宋" w:eastAsia="仿宋"/>
          <w:b/>
          <w:bCs/>
        </w:rPr>
        <w:t>1</w:t>
      </w:r>
      <w:r>
        <w:rPr>
          <w:rStyle w:val="19"/>
          <w:rFonts w:hint="eastAsia" w:ascii="仿宋" w:hAnsi="仿宋" w:eastAsia="仿宋"/>
          <w:b/>
          <w:bCs/>
        </w:rPr>
        <w:t>、预算编制管理</w:t>
      </w:r>
      <w:bookmarkEnd w:id="12"/>
    </w:p>
    <w:p>
      <w:pPr>
        <w:spacing w:line="360" w:lineRule="auto"/>
        <w:ind w:firstLine="506" w:firstLineChars="181"/>
        <w:rPr>
          <w:rStyle w:val="19"/>
          <w:rFonts w:asciiTheme="minorEastAsia" w:hAnsiTheme="minorEastAsia"/>
          <w:color w:val="FF0000"/>
          <w:spacing w:val="-4"/>
          <w:sz w:val="28"/>
          <w:szCs w:val="28"/>
        </w:rPr>
      </w:pPr>
      <w:r>
        <w:rPr>
          <w:rFonts w:hint="eastAsia" w:ascii="仿宋_GB2312" w:eastAsia="仿宋_GB2312"/>
          <w:sz w:val="28"/>
          <w:szCs w:val="36"/>
          <w:lang w:val="en-US" w:eastAsia="zh-CN"/>
        </w:rPr>
        <w:t>特克斯县疾病预防控制中心</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特克斯县人民政府政务网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6"/>
        <w:spacing w:line="360" w:lineRule="auto"/>
        <w:ind w:firstLine="562" w:firstLineChars="200"/>
        <w:rPr>
          <w:rStyle w:val="19"/>
          <w:rFonts w:ascii="仿宋" w:hAnsi="仿宋" w:eastAsia="仿宋"/>
          <w:b/>
          <w:bCs/>
        </w:rPr>
      </w:pPr>
      <w:bookmarkStart w:id="13" w:name="_Toc70450300"/>
      <w:r>
        <w:rPr>
          <w:rStyle w:val="19"/>
          <w:rFonts w:hint="eastAsia" w:ascii="仿宋" w:hAnsi="仿宋" w:eastAsia="仿宋"/>
          <w:b/>
          <w:bCs/>
        </w:rPr>
        <w:t>2</w:t>
      </w:r>
      <w:r>
        <w:rPr>
          <w:rStyle w:val="19"/>
          <w:rFonts w:ascii="仿宋" w:hAnsi="仿宋" w:eastAsia="仿宋"/>
          <w:b/>
          <w:bCs/>
        </w:rPr>
        <w:t>、预算</w:t>
      </w:r>
      <w:r>
        <w:rPr>
          <w:rStyle w:val="19"/>
          <w:rFonts w:hint="eastAsia" w:ascii="仿宋" w:hAnsi="仿宋" w:eastAsia="仿宋"/>
          <w:b/>
          <w:bCs/>
        </w:rPr>
        <w:t>支出</w:t>
      </w:r>
      <w:r>
        <w:rPr>
          <w:rStyle w:val="19"/>
          <w:rFonts w:ascii="仿宋" w:hAnsi="仿宋" w:eastAsia="仿宋"/>
          <w:b/>
          <w:bCs/>
        </w:rPr>
        <w:t>管理</w:t>
      </w:r>
      <w:bookmarkEnd w:id="13"/>
    </w:p>
    <w:p>
      <w:pPr>
        <w:spacing w:line="360" w:lineRule="auto"/>
        <w:ind w:firstLine="560" w:firstLineChars="200"/>
        <w:rPr>
          <w:rFonts w:hint="eastAsia" w:ascii="仿宋_GB2312" w:eastAsia="仿宋_GB2312"/>
          <w:sz w:val="28"/>
          <w:szCs w:val="36"/>
          <w:highlight w:val="none"/>
        </w:rPr>
      </w:pPr>
      <w:r>
        <w:rPr>
          <w:rFonts w:hint="eastAsia" w:ascii="仿宋_GB2312" w:eastAsia="仿宋_GB2312"/>
          <w:sz w:val="28"/>
          <w:szCs w:val="36"/>
          <w:lang w:val="en-US" w:eastAsia="zh-CN"/>
        </w:rPr>
        <w:t>特克斯县疾病预防控制中心</w:t>
      </w:r>
      <w:r>
        <w:rPr>
          <w:rFonts w:hint="eastAsia" w:ascii="仿宋_GB2312" w:eastAsia="仿宋_GB2312"/>
          <w:sz w:val="28"/>
          <w:szCs w:val="36"/>
        </w:rPr>
        <w:t>按照财政要求基本支出分月度申报资金使</w:t>
      </w:r>
      <w:r>
        <w:rPr>
          <w:rFonts w:hint="eastAsia" w:ascii="仿宋_GB2312" w:eastAsia="仿宋_GB2312"/>
          <w:sz w:val="28"/>
          <w:szCs w:val="36"/>
          <w:highlight w:val="none"/>
        </w:rPr>
        <w:t>用计划，由财政部门按照进度每月按期拨付，人员支出按照工资计划发放工资；依照</w:t>
      </w:r>
      <w:r>
        <w:rPr>
          <w:rFonts w:hint="eastAsia" w:ascii="仿宋_GB2312" w:eastAsia="仿宋_GB2312"/>
          <w:sz w:val="28"/>
          <w:szCs w:val="36"/>
          <w:highlight w:val="none"/>
          <w:lang w:val="en-US" w:eastAsia="zh-CN"/>
        </w:rPr>
        <w:t>特克斯县疾病预防控制中心</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内控制度</w:t>
      </w:r>
      <w:r>
        <w:rPr>
          <w:rFonts w:hint="eastAsia" w:ascii="仿宋_GB2312" w:eastAsia="仿宋_GB2312"/>
          <w:sz w:val="28"/>
          <w:szCs w:val="36"/>
          <w:highlight w:val="none"/>
        </w:rPr>
        <w:t>》相关规定和</w:t>
      </w:r>
      <w:r>
        <w:rPr>
          <w:rFonts w:hint="eastAsia" w:ascii="仿宋_GB2312" w:eastAsia="仿宋_GB2312"/>
          <w:sz w:val="28"/>
          <w:szCs w:val="36"/>
          <w:highlight w:val="none"/>
          <w:lang w:val="en-US" w:eastAsia="zh-CN"/>
        </w:rPr>
        <w:t>特克斯县疾病预防控制中心</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财务管理</w:t>
      </w:r>
      <w:r>
        <w:rPr>
          <w:rFonts w:hint="eastAsia" w:ascii="仿宋_GB2312" w:eastAsia="仿宋_GB2312"/>
          <w:sz w:val="28"/>
          <w:szCs w:val="36"/>
          <w:highlight w:val="none"/>
        </w:rPr>
        <w:t>》规定流程，资金支出按照我内控体系中设定的流程申报审批进行；项目支出属于政府采购的，按照局</w:t>
      </w:r>
      <w:r>
        <w:rPr>
          <w:rFonts w:hint="eastAsia" w:ascii="仿宋_GB2312" w:eastAsia="仿宋_GB2312"/>
          <w:sz w:val="28"/>
          <w:szCs w:val="36"/>
          <w:highlight w:val="none"/>
          <w:lang w:val="en-US" w:eastAsia="zh-CN"/>
        </w:rPr>
        <w:t>特克斯县疾病预防控制中心</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政府</w:t>
      </w:r>
      <w:r>
        <w:rPr>
          <w:rFonts w:hint="eastAsia" w:ascii="仿宋_GB2312" w:eastAsia="仿宋_GB2312"/>
          <w:sz w:val="28"/>
          <w:szCs w:val="36"/>
          <w:highlight w:val="none"/>
        </w:rPr>
        <w:t>采购与招标管理办法》组织人员制定采购计划，按照财政局采购部门批复，进行公开招标、邀请招标等方式进行；属于非政府采购的项目，按照“三重一大”制度规定，重大项目支出上党组会研究决定。</w:t>
      </w:r>
      <w:bookmarkStart w:id="14" w:name="_Toc70450301"/>
    </w:p>
    <w:p>
      <w:pPr>
        <w:numPr>
          <w:ilvl w:val="0"/>
          <w:numId w:val="2"/>
        </w:numPr>
        <w:spacing w:line="360" w:lineRule="auto"/>
        <w:ind w:firstLine="562" w:firstLineChars="200"/>
        <w:rPr>
          <w:rStyle w:val="19"/>
          <w:rFonts w:hint="eastAsia"/>
          <w:b/>
          <w:bCs/>
          <w:sz w:val="28"/>
          <w:szCs w:val="28"/>
        </w:rPr>
      </w:pPr>
      <w:r>
        <w:rPr>
          <w:rStyle w:val="19"/>
          <w:rFonts w:hint="eastAsia"/>
          <w:b/>
          <w:bCs/>
          <w:sz w:val="28"/>
          <w:szCs w:val="28"/>
        </w:rPr>
        <w:t>基本支出管理及使用情况</w:t>
      </w:r>
      <w:bookmarkEnd w:id="14"/>
    </w:p>
    <w:p>
      <w:pPr>
        <w:numPr>
          <w:ilvl w:val="0"/>
          <w:numId w:val="0"/>
        </w:num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2021年基本支出预算安排</w:t>
      </w:r>
      <w:r>
        <w:rPr>
          <w:rStyle w:val="19"/>
          <w:rFonts w:hint="eastAsia" w:ascii="仿宋_GB2312" w:hAnsi="楷体" w:eastAsia="仿宋_GB2312"/>
          <w:b w:val="0"/>
          <w:spacing w:val="-4"/>
          <w:sz w:val="28"/>
          <w:szCs w:val="28"/>
          <w:lang w:val="en-US" w:eastAsia="zh-CN"/>
        </w:rPr>
        <w:t>493.21</w:t>
      </w:r>
      <w:r>
        <w:rPr>
          <w:rStyle w:val="19"/>
          <w:rFonts w:hint="eastAsia" w:ascii="仿宋_GB2312" w:hAnsi="楷体" w:eastAsia="仿宋_GB2312"/>
          <w:b w:val="0"/>
          <w:spacing w:val="-4"/>
          <w:sz w:val="28"/>
          <w:szCs w:val="28"/>
        </w:rPr>
        <w:t>万元，实际到位</w:t>
      </w:r>
      <w:r>
        <w:rPr>
          <w:rStyle w:val="19"/>
          <w:rFonts w:hint="eastAsia" w:ascii="仿宋_GB2312" w:hAnsi="楷体" w:eastAsia="仿宋_GB2312"/>
          <w:b w:val="0"/>
          <w:spacing w:val="-4"/>
          <w:sz w:val="28"/>
          <w:szCs w:val="28"/>
          <w:lang w:val="en-US" w:eastAsia="zh-CN"/>
        </w:rPr>
        <w:t>493.21</w:t>
      </w:r>
      <w:r>
        <w:rPr>
          <w:rStyle w:val="19"/>
          <w:rFonts w:hint="eastAsia" w:ascii="仿宋_GB2312" w:hAnsi="楷体" w:eastAsia="仿宋_GB2312"/>
          <w:b w:val="0"/>
          <w:spacing w:val="-4"/>
          <w:sz w:val="28"/>
          <w:szCs w:val="28"/>
        </w:rPr>
        <w:t>万元,实际支出</w:t>
      </w:r>
      <w:r>
        <w:rPr>
          <w:rStyle w:val="19"/>
          <w:rFonts w:hint="eastAsia" w:ascii="仿宋_GB2312" w:hAnsi="楷体" w:eastAsia="仿宋_GB2312"/>
          <w:b w:val="0"/>
          <w:spacing w:val="-4"/>
          <w:sz w:val="28"/>
          <w:szCs w:val="28"/>
          <w:lang w:val="en-US" w:eastAsia="zh-CN"/>
        </w:rPr>
        <w:t>493.21</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53.72</w:t>
      </w:r>
      <w:r>
        <w:rPr>
          <w:rStyle w:val="19"/>
          <w:rFonts w:hint="eastAsia" w:ascii="仿宋_GB2312" w:hAnsi="楷体" w:eastAsia="仿宋_GB2312"/>
          <w:b w:val="0"/>
          <w:spacing w:val="-4"/>
          <w:sz w:val="28"/>
          <w:szCs w:val="28"/>
        </w:rPr>
        <w:t>％，其中：工资福利支出</w:t>
      </w:r>
      <w:r>
        <w:rPr>
          <w:rStyle w:val="19"/>
          <w:rFonts w:hint="eastAsia" w:ascii="仿宋_GB2312" w:hAnsi="楷体" w:eastAsia="仿宋_GB2312"/>
          <w:b w:val="0"/>
          <w:spacing w:val="-4"/>
          <w:sz w:val="28"/>
          <w:szCs w:val="28"/>
          <w:lang w:val="en-US" w:eastAsia="zh-CN"/>
        </w:rPr>
        <w:t>447.02</w:t>
      </w:r>
      <w:r>
        <w:rPr>
          <w:rStyle w:val="19"/>
          <w:rFonts w:hint="eastAsia" w:ascii="仿宋_GB2312" w:hAnsi="楷体" w:eastAsia="仿宋_GB2312"/>
          <w:b w:val="0"/>
          <w:spacing w:val="-4"/>
          <w:sz w:val="28"/>
          <w:szCs w:val="28"/>
        </w:rPr>
        <w:t>万元、商品和服务支出</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lang w:val="en-US" w:eastAsia="zh-CN"/>
        </w:rPr>
        <w:t>37.27</w:t>
      </w:r>
      <w:r>
        <w:rPr>
          <w:rStyle w:val="19"/>
          <w:rFonts w:hint="eastAsia" w:ascii="仿宋_GB2312" w:hAnsi="楷体" w:eastAsia="仿宋_GB2312"/>
          <w:b w:val="0"/>
          <w:spacing w:val="-4"/>
          <w:sz w:val="28"/>
          <w:szCs w:val="28"/>
        </w:rPr>
        <w:t>万元、对个人和家庭的补助</w:t>
      </w:r>
      <w:r>
        <w:rPr>
          <w:rStyle w:val="19"/>
          <w:rFonts w:hint="eastAsia" w:ascii="仿宋_GB2312" w:hAnsi="楷体" w:eastAsia="仿宋_GB2312"/>
          <w:b w:val="0"/>
          <w:spacing w:val="-4"/>
          <w:sz w:val="28"/>
          <w:szCs w:val="28"/>
          <w:lang w:val="en-US" w:eastAsia="zh-CN"/>
        </w:rPr>
        <w:t>8.92</w:t>
      </w:r>
      <w:r>
        <w:rPr>
          <w:rStyle w:val="19"/>
          <w:rFonts w:hint="eastAsia" w:ascii="仿宋_GB2312" w:hAnsi="楷体" w:eastAsia="仿宋_GB2312"/>
          <w:b w:val="0"/>
          <w:spacing w:val="-4"/>
          <w:sz w:val="28"/>
          <w:szCs w:val="28"/>
        </w:rPr>
        <w:t>万元、主要用于</w:t>
      </w:r>
      <w:r>
        <w:rPr>
          <w:rStyle w:val="19"/>
          <w:rFonts w:hint="eastAsia" w:ascii="仿宋_GB2312" w:hAnsi="楷体" w:eastAsia="仿宋_GB2312"/>
          <w:b w:val="0"/>
          <w:spacing w:val="-4"/>
          <w:sz w:val="28"/>
          <w:szCs w:val="28"/>
          <w:lang w:val="en-US" w:eastAsia="zh-CN"/>
        </w:rPr>
        <w:t>人员工资福利及社保住房的缴纳</w:t>
      </w:r>
      <w:r>
        <w:rPr>
          <w:rStyle w:val="19"/>
          <w:rFonts w:hint="eastAsia" w:ascii="仿宋_GB2312" w:hAnsi="楷体" w:eastAsia="仿宋_GB2312"/>
          <w:b w:val="0"/>
          <w:spacing w:val="-4"/>
          <w:sz w:val="28"/>
          <w:szCs w:val="28"/>
        </w:rPr>
        <w:t>。资本性支出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2021年基本支出比上年</w:t>
      </w:r>
      <w:r>
        <w:rPr>
          <w:rStyle w:val="19"/>
          <w:rFonts w:hint="eastAsia" w:ascii="仿宋_GB2312" w:hAnsi="楷体" w:eastAsia="仿宋_GB2312"/>
          <w:b w:val="0"/>
          <w:spacing w:val="-4"/>
          <w:sz w:val="28"/>
          <w:szCs w:val="28"/>
          <w:lang w:val="en-US" w:eastAsia="zh-CN"/>
        </w:rPr>
        <w:t>572.49</w:t>
      </w:r>
      <w:r>
        <w:rPr>
          <w:rStyle w:val="19"/>
          <w:rFonts w:hint="eastAsia" w:ascii="仿宋_GB2312" w:hAnsi="楷体" w:eastAsia="仿宋_GB2312"/>
          <w:b w:val="0"/>
          <w:spacing w:val="-4"/>
          <w:sz w:val="28"/>
          <w:szCs w:val="28"/>
        </w:rPr>
        <w:t>万元,减少</w:t>
      </w:r>
      <w:r>
        <w:rPr>
          <w:rStyle w:val="19"/>
          <w:rFonts w:hint="eastAsia" w:ascii="仿宋_GB2312" w:hAnsi="楷体" w:eastAsia="仿宋_GB2312"/>
          <w:b w:val="0"/>
          <w:spacing w:val="-4"/>
          <w:sz w:val="28"/>
          <w:szCs w:val="28"/>
          <w:lang w:val="en-US" w:eastAsia="zh-CN"/>
        </w:rPr>
        <w:t>79.28</w:t>
      </w:r>
      <w:r>
        <w:rPr>
          <w:rStyle w:val="19"/>
          <w:rFonts w:hint="eastAsia" w:ascii="仿宋_GB2312" w:hAnsi="楷体" w:eastAsia="仿宋_GB2312"/>
          <w:b w:val="0"/>
          <w:spacing w:val="-4"/>
          <w:sz w:val="28"/>
          <w:szCs w:val="28"/>
        </w:rPr>
        <w:t>万元，下降</w:t>
      </w:r>
      <w:r>
        <w:rPr>
          <w:rStyle w:val="19"/>
          <w:rFonts w:ascii="仿宋_GB2312" w:hAnsi="楷体" w:eastAsia="仿宋_GB2312"/>
          <w:b w:val="0"/>
          <w:spacing w:val="-4"/>
          <w:sz w:val="28"/>
          <w:szCs w:val="28"/>
        </w:rPr>
        <w:t xml:space="preserve"> </w:t>
      </w:r>
      <w:r>
        <w:rPr>
          <w:rStyle w:val="19"/>
          <w:rFonts w:hint="eastAsia" w:ascii="仿宋_GB2312" w:hAnsi="宋体" w:eastAsia="仿宋_GB2312"/>
          <w:b w:val="0"/>
          <w:bCs w:val="0"/>
          <w:spacing w:val="-4"/>
          <w:sz w:val="28"/>
          <w:szCs w:val="28"/>
          <w:lang w:val="en-US" w:eastAsia="zh-CN"/>
        </w:rPr>
        <w:t>13.85</w:t>
      </w:r>
      <w:r>
        <w:rPr>
          <w:rStyle w:val="19"/>
          <w:rFonts w:ascii="仿宋_GB2312" w:hAnsi="宋体" w:eastAsia="仿宋_GB2312"/>
          <w:b w:val="0"/>
          <w:bCs w:val="0"/>
          <w:spacing w:val="-4"/>
          <w:sz w:val="28"/>
          <w:szCs w:val="28"/>
        </w:rPr>
        <w:t>%</w:t>
      </w:r>
      <w:r>
        <w:rPr>
          <w:rStyle w:val="19"/>
          <w:rFonts w:hint="eastAsia" w:ascii="仿宋_GB2312" w:hAnsi="楷体" w:eastAsia="仿宋_GB2312"/>
          <w:b w:val="0"/>
          <w:spacing w:val="-4"/>
          <w:sz w:val="28"/>
          <w:szCs w:val="28"/>
        </w:rPr>
        <w:t>，支出减少的主要原因是</w:t>
      </w:r>
      <w:r>
        <w:rPr>
          <w:rStyle w:val="19"/>
          <w:rFonts w:hint="eastAsia" w:ascii="仿宋_GB2312" w:hAnsi="楷体" w:eastAsia="仿宋_GB2312"/>
          <w:b w:val="0"/>
          <w:spacing w:val="-4"/>
          <w:sz w:val="28"/>
          <w:szCs w:val="28"/>
          <w:lang w:val="en-US" w:eastAsia="zh-CN"/>
        </w:rPr>
        <w:t>二类疫苗接种工作移交至镇卫生院事业收入减少</w:t>
      </w:r>
      <w:r>
        <w:rPr>
          <w:rStyle w:val="19"/>
          <w:rFonts w:hint="eastAsia" w:ascii="仿宋_GB2312" w:hAnsi="楷体" w:eastAsia="仿宋_GB2312"/>
          <w:b w:val="0"/>
          <w:spacing w:val="-4"/>
          <w:sz w:val="28"/>
          <w:szCs w:val="28"/>
        </w:rPr>
        <w:t>。</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年一般公共预算“三公”经费数为</w:t>
      </w:r>
      <w:r>
        <w:rPr>
          <w:rStyle w:val="19"/>
          <w:rFonts w:hint="eastAsia" w:ascii="仿宋_GB2312" w:hAnsi="楷体" w:eastAsia="仿宋_GB2312"/>
          <w:b w:val="0"/>
          <w:spacing w:val="-4"/>
          <w:sz w:val="28"/>
          <w:szCs w:val="28"/>
          <w:lang w:val="en-US" w:eastAsia="zh-CN"/>
        </w:rPr>
        <w:t>0.8</w:t>
      </w:r>
      <w:r>
        <w:rPr>
          <w:rStyle w:val="19"/>
          <w:rFonts w:hint="eastAsia" w:ascii="仿宋_GB2312" w:hAnsi="楷体" w:eastAsia="仿宋_GB2312"/>
          <w:b w:val="0"/>
          <w:spacing w:val="-4"/>
          <w:sz w:val="28"/>
          <w:szCs w:val="28"/>
        </w:rPr>
        <w:t xml:space="preserve">万元，其中：因公出国（境）费 </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万元，公务用车购置</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万元，公务用车运行费</w:t>
      </w:r>
      <w:r>
        <w:rPr>
          <w:rStyle w:val="19"/>
          <w:rFonts w:hint="eastAsia" w:ascii="仿宋_GB2312" w:hAnsi="楷体" w:eastAsia="仿宋_GB2312"/>
          <w:b w:val="0"/>
          <w:spacing w:val="-4"/>
          <w:sz w:val="28"/>
          <w:szCs w:val="28"/>
          <w:lang w:val="en-US" w:eastAsia="zh-CN"/>
        </w:rPr>
        <w:t>0.8</w:t>
      </w:r>
      <w:r>
        <w:rPr>
          <w:rStyle w:val="19"/>
          <w:rFonts w:hint="eastAsia" w:ascii="仿宋_GB2312" w:hAnsi="楷体" w:eastAsia="仿宋_GB2312"/>
          <w:b w:val="0"/>
          <w:spacing w:val="-4"/>
          <w:sz w:val="28"/>
          <w:szCs w:val="28"/>
        </w:rPr>
        <w:t>万元，公务接待费</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年一般公共预算“三公”经费比上年增加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万元，其中：因公出国（境）费增加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w:t>
      </w:r>
      <w:r>
        <w:rPr>
          <w:rStyle w:val="19"/>
          <w:rFonts w:hint="eastAsia" w:ascii="仿宋_GB2312" w:hAnsi="楷体" w:eastAsia="仿宋_GB2312"/>
          <w:b w:val="0"/>
          <w:spacing w:val="-4"/>
          <w:sz w:val="28"/>
          <w:szCs w:val="28"/>
          <w:lang w:eastAsia="zh-CN"/>
        </w:rPr>
        <w:t>无</w:t>
      </w:r>
      <w:r>
        <w:rPr>
          <w:rStyle w:val="19"/>
          <w:rFonts w:hint="eastAsia" w:ascii="仿宋_GB2312" w:hAnsi="楷体" w:eastAsia="仿宋_GB2312"/>
          <w:b w:val="0"/>
          <w:spacing w:val="-4"/>
          <w:sz w:val="28"/>
          <w:szCs w:val="28"/>
        </w:rPr>
        <w:t>；公务用车购置费为0，未安排预算。公务用车运行费增加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万元，主要原因是未安排预算；公务接待费增加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万元，主要原因是未安排预算。</w:t>
      </w:r>
    </w:p>
    <w:p>
      <w:pPr>
        <w:pStyle w:val="5"/>
        <w:spacing w:line="360" w:lineRule="auto"/>
        <w:rPr>
          <w:rStyle w:val="19"/>
          <w:rFonts w:ascii="仿宋" w:hAnsi="仿宋" w:eastAsia="仿宋"/>
          <w:b/>
          <w:bCs/>
        </w:rPr>
      </w:pPr>
      <w:bookmarkStart w:id="15" w:name="_Toc70450302"/>
      <w:r>
        <w:rPr>
          <w:rStyle w:val="19"/>
          <w:rFonts w:hint="eastAsia" w:ascii="仿宋" w:hAnsi="仿宋" w:eastAsia="仿宋"/>
          <w:b/>
          <w:bCs/>
        </w:rPr>
        <w:t>（三）专项支出管理及使用情况</w:t>
      </w:r>
      <w:bookmarkEnd w:id="15"/>
    </w:p>
    <w:p>
      <w:pPr>
        <w:pStyle w:val="6"/>
        <w:spacing w:line="360" w:lineRule="auto"/>
        <w:ind w:firstLine="562" w:firstLineChars="200"/>
        <w:rPr>
          <w:rStyle w:val="19"/>
          <w:rFonts w:ascii="仿宋" w:hAnsi="仿宋" w:eastAsia="仿宋"/>
          <w:b/>
          <w:bCs/>
        </w:rPr>
      </w:pPr>
      <w:bookmarkStart w:id="16" w:name="_Toc70450303"/>
      <w:r>
        <w:rPr>
          <w:rStyle w:val="19"/>
          <w:rFonts w:hint="eastAsia" w:ascii="仿宋" w:hAnsi="仿宋" w:eastAsia="仿宋"/>
          <w:b/>
          <w:bCs/>
        </w:rPr>
        <w:t>1、专项资金安排落实、总投入等情况分析</w:t>
      </w:r>
      <w:bookmarkEnd w:id="16"/>
    </w:p>
    <w:p>
      <w:pPr>
        <w:spacing w:line="360" w:lineRule="auto"/>
        <w:ind w:firstLine="492" w:firstLineChars="181"/>
        <w:rPr>
          <w:rStyle w:val="19"/>
          <w:rFonts w:hint="eastAsia"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年预算安排专项资金</w:t>
      </w:r>
      <w:r>
        <w:rPr>
          <w:rStyle w:val="19"/>
          <w:rFonts w:hint="eastAsia" w:ascii="仿宋_GB2312" w:hAnsi="楷体" w:eastAsia="仿宋_GB2312"/>
          <w:b w:val="0"/>
          <w:spacing w:val="-4"/>
          <w:sz w:val="28"/>
          <w:szCs w:val="28"/>
          <w:lang w:val="en-US" w:eastAsia="zh-CN"/>
        </w:rPr>
        <w:t>168.42</w:t>
      </w:r>
      <w:r>
        <w:rPr>
          <w:rStyle w:val="19"/>
          <w:rFonts w:hint="eastAsia" w:ascii="仿宋_GB2312" w:hAnsi="楷体" w:eastAsia="仿宋_GB2312"/>
          <w:b w:val="0"/>
          <w:spacing w:val="-4"/>
          <w:sz w:val="28"/>
          <w:szCs w:val="28"/>
        </w:rPr>
        <w:t>万元，实际到位</w:t>
      </w:r>
      <w:r>
        <w:rPr>
          <w:rStyle w:val="19"/>
          <w:rFonts w:hint="eastAsia" w:ascii="仿宋_GB2312" w:hAnsi="楷体" w:eastAsia="仿宋_GB2312"/>
          <w:b w:val="0"/>
          <w:spacing w:val="-4"/>
          <w:sz w:val="28"/>
          <w:szCs w:val="28"/>
          <w:lang w:val="en-US" w:eastAsia="zh-CN"/>
        </w:rPr>
        <w:t>168.42</w:t>
      </w:r>
      <w:r>
        <w:rPr>
          <w:rStyle w:val="19"/>
          <w:rFonts w:hint="eastAsia" w:ascii="仿宋_GB2312" w:hAnsi="楷体" w:eastAsia="仿宋_GB2312"/>
          <w:b w:val="0"/>
          <w:spacing w:val="-4"/>
          <w:sz w:val="28"/>
          <w:szCs w:val="28"/>
        </w:rPr>
        <w:t>万元,</w:t>
      </w:r>
      <w:r>
        <w:rPr>
          <w:rFonts w:hint="eastAsia"/>
        </w:rPr>
        <w:t xml:space="preserve"> </w:t>
      </w:r>
      <w:r>
        <w:rPr>
          <w:rStyle w:val="19"/>
          <w:rFonts w:hint="eastAsia" w:ascii="仿宋_GB2312" w:hAnsi="楷体" w:eastAsia="仿宋_GB2312"/>
          <w:b w:val="0"/>
          <w:spacing w:val="-4"/>
          <w:sz w:val="28"/>
          <w:szCs w:val="28"/>
        </w:rPr>
        <w:t>到位率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％,其中:中央转移支付项目资金</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万元，自治区资金</w:t>
      </w:r>
      <w:r>
        <w:rPr>
          <w:rStyle w:val="19"/>
          <w:rFonts w:hint="eastAsia" w:ascii="仿宋_GB2312" w:hAnsi="楷体" w:eastAsia="仿宋_GB2312"/>
          <w:b w:val="0"/>
          <w:spacing w:val="-4"/>
          <w:sz w:val="28"/>
          <w:szCs w:val="28"/>
          <w:lang w:val="en-US" w:eastAsia="zh-CN"/>
        </w:rPr>
        <w:t>167.42</w:t>
      </w:r>
      <w:r>
        <w:rPr>
          <w:rStyle w:val="19"/>
          <w:rFonts w:hint="eastAsia" w:ascii="仿宋_GB2312" w:hAnsi="楷体" w:eastAsia="仿宋_GB2312"/>
          <w:b w:val="0"/>
          <w:spacing w:val="-4"/>
          <w:sz w:val="28"/>
          <w:szCs w:val="28"/>
        </w:rPr>
        <w:t>万元，本级安排</w:t>
      </w:r>
      <w:r>
        <w:rPr>
          <w:rStyle w:val="19"/>
          <w:rFonts w:hint="eastAsia" w:ascii="仿宋_GB2312" w:hAnsi="楷体" w:eastAsia="仿宋_GB2312"/>
          <w:b w:val="0"/>
          <w:spacing w:val="-4"/>
          <w:sz w:val="28"/>
          <w:szCs w:val="28"/>
          <w:lang w:val="en-US" w:eastAsia="zh-CN"/>
        </w:rPr>
        <w:t>1</w:t>
      </w:r>
      <w:r>
        <w:rPr>
          <w:rStyle w:val="19"/>
          <w:rFonts w:hint="eastAsia" w:ascii="仿宋_GB2312" w:hAnsi="楷体" w:eastAsia="仿宋_GB2312"/>
          <w:b w:val="0"/>
          <w:spacing w:val="-4"/>
          <w:sz w:val="28"/>
          <w:szCs w:val="28"/>
        </w:rPr>
        <w:t>万元。</w:t>
      </w:r>
      <w:bookmarkStart w:id="17" w:name="_Toc70450304"/>
    </w:p>
    <w:p>
      <w:pPr>
        <w:spacing w:line="360" w:lineRule="auto"/>
        <w:ind w:firstLine="509" w:firstLineChars="181"/>
        <w:rPr>
          <w:rStyle w:val="19"/>
          <w:rFonts w:hint="eastAsia" w:ascii="仿宋" w:hAnsi="仿宋" w:eastAsia="仿宋" w:cstheme="majorBidi"/>
          <w:kern w:val="2"/>
          <w:sz w:val="28"/>
          <w:szCs w:val="28"/>
          <w:lang w:val="en-US" w:eastAsia="zh-CN" w:bidi="ar-SA"/>
        </w:rPr>
      </w:pPr>
      <w:r>
        <w:rPr>
          <w:rStyle w:val="19"/>
          <w:rFonts w:hint="eastAsia" w:ascii="仿宋" w:hAnsi="仿宋" w:eastAsia="仿宋" w:cstheme="majorBidi"/>
          <w:kern w:val="2"/>
          <w:sz w:val="28"/>
          <w:szCs w:val="28"/>
          <w:lang w:val="en-US" w:eastAsia="zh-CN" w:bidi="ar-SA"/>
        </w:rPr>
        <w:t>2、专项资金实际使用情况</w:t>
      </w:r>
      <w:bookmarkEnd w:id="17"/>
    </w:p>
    <w:p>
      <w:pPr>
        <w:pStyle w:val="15"/>
        <w:widowControl/>
        <w:spacing w:before="40" w:beforeAutospacing="0" w:after="0" w:afterAutospacing="0" w:line="520" w:lineRule="atLeast"/>
        <w:ind w:firstLine="544" w:firstLineChars="200"/>
        <w:jc w:val="both"/>
        <w:rPr>
          <w:rStyle w:val="19"/>
          <w:rFonts w:hint="eastAsia"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highlight w:val="none"/>
        </w:rPr>
        <w:t>2021年专项资金支出</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万元，占总支出的</w:t>
      </w:r>
      <w:r>
        <w:rPr>
          <w:rStyle w:val="19"/>
          <w:rFonts w:hint="eastAsia" w:ascii="仿宋_GB2312" w:hAnsi="楷体" w:eastAsia="仿宋_GB2312"/>
          <w:b w:val="0"/>
          <w:spacing w:val="-4"/>
          <w:sz w:val="28"/>
          <w:szCs w:val="28"/>
          <w:highlight w:val="none"/>
          <w:lang w:val="en-US" w:eastAsia="zh-CN"/>
        </w:rPr>
        <w:t>18.34</w:t>
      </w:r>
      <w:r>
        <w:rPr>
          <w:rStyle w:val="19"/>
          <w:rFonts w:hint="eastAsia" w:ascii="仿宋_GB2312" w:hAnsi="楷体" w:eastAsia="仿宋_GB2312"/>
          <w:b w:val="0"/>
          <w:spacing w:val="-4"/>
          <w:sz w:val="28"/>
          <w:szCs w:val="28"/>
          <w:highlight w:val="none"/>
        </w:rPr>
        <w:t>%，其中2021年专项项目支出比上年</w:t>
      </w:r>
      <w:r>
        <w:rPr>
          <w:rStyle w:val="19"/>
          <w:rFonts w:hint="eastAsia" w:ascii="仿宋_GB2312" w:hAnsi="楷体" w:eastAsia="仿宋_GB2312"/>
          <w:b w:val="0"/>
          <w:spacing w:val="-4"/>
          <w:sz w:val="28"/>
          <w:szCs w:val="28"/>
          <w:highlight w:val="none"/>
          <w:lang w:val="en-US" w:eastAsia="zh-CN"/>
        </w:rPr>
        <w:t>679.22</w:t>
      </w:r>
      <w:r>
        <w:rPr>
          <w:rStyle w:val="19"/>
          <w:rFonts w:hint="eastAsia" w:ascii="仿宋_GB2312" w:hAnsi="楷体" w:eastAsia="仿宋_GB2312"/>
          <w:b w:val="0"/>
          <w:spacing w:val="-4"/>
          <w:sz w:val="28"/>
          <w:szCs w:val="28"/>
          <w:highlight w:val="none"/>
        </w:rPr>
        <w:t>万元减少</w:t>
      </w:r>
      <w:r>
        <w:rPr>
          <w:rStyle w:val="19"/>
          <w:rFonts w:hint="eastAsia" w:ascii="仿宋_GB2312" w:hAnsi="楷体" w:eastAsia="仿宋_GB2312"/>
          <w:b w:val="0"/>
          <w:spacing w:val="-4"/>
          <w:sz w:val="28"/>
          <w:szCs w:val="28"/>
          <w:highlight w:val="none"/>
          <w:lang w:val="en-US" w:eastAsia="zh-CN"/>
        </w:rPr>
        <w:t>510.8</w:t>
      </w:r>
      <w:r>
        <w:rPr>
          <w:rStyle w:val="19"/>
          <w:rFonts w:hint="eastAsia" w:ascii="仿宋_GB2312" w:hAnsi="楷体" w:eastAsia="仿宋_GB2312"/>
          <w:b w:val="0"/>
          <w:spacing w:val="-4"/>
          <w:sz w:val="28"/>
          <w:szCs w:val="28"/>
          <w:highlight w:val="none"/>
        </w:rPr>
        <w:t>万元，下降</w:t>
      </w:r>
      <w:r>
        <w:rPr>
          <w:rStyle w:val="19"/>
          <w:rFonts w:ascii="仿宋_GB2312" w:hAnsi="楷体" w:eastAsia="仿宋_GB2312"/>
          <w:b w:val="0"/>
          <w:spacing w:val="-4"/>
          <w:sz w:val="28"/>
          <w:szCs w:val="28"/>
          <w:highlight w:val="none"/>
        </w:rPr>
        <w:t xml:space="preserve"> </w:t>
      </w:r>
      <w:r>
        <w:rPr>
          <w:rStyle w:val="19"/>
          <w:rFonts w:hint="eastAsia" w:ascii="仿宋_GB2312" w:hAnsi="楷体" w:eastAsia="仿宋_GB2312"/>
          <w:b w:val="0"/>
          <w:spacing w:val="-4"/>
          <w:sz w:val="28"/>
          <w:szCs w:val="28"/>
          <w:highlight w:val="none"/>
          <w:lang w:val="en-US" w:eastAsia="zh-CN"/>
        </w:rPr>
        <w:t>75.20</w:t>
      </w:r>
      <w:r>
        <w:rPr>
          <w:rStyle w:val="19"/>
          <w:rFonts w:hint="eastAsia" w:ascii="仿宋_GB2312" w:hAnsi="楷体" w:eastAsia="仿宋_GB2312"/>
          <w:b w:val="0"/>
          <w:spacing w:val="-4"/>
          <w:sz w:val="28"/>
          <w:szCs w:val="28"/>
          <w:highlight w:val="none"/>
        </w:rPr>
        <w:t>%。支出减少的主要原因是</w:t>
      </w:r>
      <w:r>
        <w:rPr>
          <w:rStyle w:val="19"/>
          <w:rFonts w:hint="eastAsia" w:ascii="仿宋_GB2312" w:hAnsi="楷体" w:eastAsia="仿宋_GB2312"/>
          <w:b w:val="0"/>
          <w:spacing w:val="-4"/>
          <w:sz w:val="28"/>
          <w:szCs w:val="28"/>
          <w:highlight w:val="none"/>
          <w:lang w:val="en-US" w:eastAsia="zh-CN"/>
        </w:rPr>
        <w:t>2020年新增中央基建项目与当年已执行完成</w:t>
      </w:r>
      <w:r>
        <w:rPr>
          <w:rStyle w:val="19"/>
          <w:rFonts w:hint="eastAsia" w:ascii="仿宋_GB2312" w:hAnsi="楷体" w:eastAsia="仿宋_GB2312"/>
          <w:b w:val="0"/>
          <w:spacing w:val="-4"/>
          <w:sz w:val="28"/>
          <w:szCs w:val="28"/>
          <w:highlight w:val="none"/>
        </w:rPr>
        <w:t>。其中：</w:t>
      </w:r>
      <w:r>
        <w:rPr>
          <w:rStyle w:val="19"/>
          <w:rFonts w:hint="eastAsia" w:ascii="仿宋_GB2312" w:hAnsi="楷体" w:eastAsia="仿宋_GB2312"/>
          <w:b w:val="0"/>
          <w:spacing w:val="-4"/>
          <w:sz w:val="28"/>
          <w:szCs w:val="28"/>
          <w:highlight w:val="none"/>
          <w:lang w:eastAsia="zh-CN"/>
        </w:rPr>
        <w:t>基本公共卫生服务</w:t>
      </w:r>
      <w:r>
        <w:rPr>
          <w:rStyle w:val="19"/>
          <w:rFonts w:hint="eastAsia" w:ascii="仿宋_GB2312" w:hAnsi="楷体" w:eastAsia="仿宋_GB2312"/>
          <w:b w:val="0"/>
          <w:spacing w:val="-4"/>
          <w:sz w:val="28"/>
          <w:szCs w:val="28"/>
          <w:highlight w:val="none"/>
        </w:rPr>
        <w:t>项目安排</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万元，主要用于完成主要用于完成</w:t>
      </w:r>
      <w:r>
        <w:rPr>
          <w:rStyle w:val="19"/>
          <w:rFonts w:hint="eastAsia" w:ascii="仿宋_GB2312" w:hAnsi="楷体" w:eastAsia="仿宋_GB2312" w:cs="Times New Roman"/>
          <w:b w:val="0"/>
          <w:spacing w:val="-4"/>
          <w:sz w:val="28"/>
          <w:szCs w:val="28"/>
          <w:highlight w:val="none"/>
        </w:rPr>
        <w:t>继续做好免疫规划疫苗常规接种工作，及时对受新冠肺炎疫情影响漏种疫苗进行补种、常规免疫接种和入托入学接种证查验，提高疫苗接种率，防止疫苗可预防传染病的暴发流行 ，督促各级医疗单位做好传染病的上报工作，提高传染病监测信息的及时报告率、及时审核率和有效证件填写完整率，进一步提高传染病网络直报工作综合质量。严格按照《2020年伊犁州结核病防治专项行动工作方案》《2020年特克斯县结核病防治专项行动工作方案》要求，及时开展各项结核病防治专项行动工作，认真落实“集中服药+营养早餐”活动，加强对各乡镇结核病防治的指导力度，规范患者的治疗，实行定点医院全面落实传染性肺结核患者隔离治疗制度。</w:t>
      </w:r>
      <w:bookmarkStart w:id="18" w:name="_Toc70450305"/>
    </w:p>
    <w:p>
      <w:pPr>
        <w:pStyle w:val="15"/>
        <w:widowControl/>
        <w:spacing w:before="40" w:beforeAutospacing="0" w:after="0" w:afterAutospacing="0" w:line="520" w:lineRule="atLeast"/>
        <w:ind w:firstLine="562" w:firstLineChars="200"/>
        <w:jc w:val="both"/>
        <w:rPr>
          <w:rStyle w:val="19"/>
          <w:rFonts w:ascii="仿宋" w:hAnsi="仿宋" w:eastAsia="仿宋"/>
          <w:b/>
          <w:bCs/>
          <w:sz w:val="28"/>
          <w:szCs w:val="28"/>
        </w:rPr>
      </w:pPr>
      <w:r>
        <w:rPr>
          <w:rStyle w:val="19"/>
          <w:rFonts w:hint="eastAsia" w:ascii="仿宋" w:hAnsi="仿宋" w:eastAsia="仿宋"/>
          <w:b/>
          <w:bCs/>
          <w:sz w:val="28"/>
          <w:szCs w:val="28"/>
        </w:rPr>
        <w:t>3、专项资金管理情况</w:t>
      </w:r>
      <w:bookmarkEnd w:id="18"/>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为规范专项资金使用，提高专项资金使用效益，</w:t>
      </w:r>
      <w:r>
        <w:rPr>
          <w:rStyle w:val="19"/>
          <w:rFonts w:hint="eastAsia" w:ascii="仿宋_GB2312" w:hAnsi="楷体" w:eastAsia="仿宋_GB2312"/>
          <w:b w:val="0"/>
          <w:spacing w:val="-4"/>
          <w:sz w:val="28"/>
          <w:szCs w:val="28"/>
          <w:lang w:val="en-US" w:eastAsia="zh-CN"/>
        </w:rPr>
        <w:t>特克斯县疾病预防控制中心</w:t>
      </w:r>
      <w:r>
        <w:rPr>
          <w:rStyle w:val="19"/>
          <w:rFonts w:hint="eastAsia" w:ascii="仿宋_GB2312" w:hAnsi="楷体" w:eastAsia="仿宋_GB2312"/>
          <w:b w:val="0"/>
          <w:spacing w:val="-4"/>
          <w:sz w:val="28"/>
          <w:szCs w:val="28"/>
        </w:rPr>
        <w:t>主要采取四项措施。</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w:t>
      </w:r>
      <w:r>
        <w:rPr>
          <w:rStyle w:val="19"/>
          <w:rFonts w:hint="eastAsia" w:ascii="仿宋_GB2312" w:hAnsi="楷体" w:eastAsia="仿宋_GB2312"/>
          <w:b w:val="0"/>
          <w:spacing w:val="-4"/>
          <w:sz w:val="28"/>
          <w:szCs w:val="28"/>
          <w:lang w:eastAsia="zh-CN"/>
        </w:rPr>
        <w:t>按照</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eastAsia="zh-CN"/>
        </w:rPr>
        <w:t>中国结核病防治规划实施工作指南（征求意见稿）》</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eastAsia="zh-CN"/>
        </w:rPr>
        <w:t>特克斯县艾滋病防治资金使用细则</w:t>
      </w:r>
      <w:r>
        <w:rPr>
          <w:rStyle w:val="19"/>
          <w:rFonts w:hint="eastAsia" w:ascii="仿宋_GB2312" w:hAnsi="楷体" w:eastAsia="仿宋_GB2312"/>
          <w:b w:val="0"/>
          <w:spacing w:val="-4"/>
          <w:sz w:val="28"/>
          <w:szCs w:val="28"/>
        </w:rPr>
        <w:t>》</w:t>
      </w:r>
      <w:r>
        <w:rPr>
          <w:rFonts w:hint="eastAsia" w:ascii="仿宋" w:hAnsi="仿宋" w:eastAsia="仿宋" w:cs="仿宋"/>
          <w:color w:val="auto"/>
          <w:sz w:val="32"/>
          <w:szCs w:val="32"/>
          <w:highlight w:val="none"/>
          <w:lang w:val="en-US" w:eastAsia="zh-CN"/>
        </w:rPr>
        <w:t>《</w:t>
      </w:r>
      <w:r>
        <w:rPr>
          <w:rStyle w:val="19"/>
          <w:rFonts w:hint="eastAsia" w:ascii="仿宋_GB2312" w:hAnsi="楷体" w:eastAsia="仿宋_GB2312"/>
          <w:b w:val="0"/>
          <w:spacing w:val="-4"/>
          <w:sz w:val="28"/>
          <w:szCs w:val="28"/>
          <w:lang w:val="en-US" w:eastAsia="zh-CN"/>
        </w:rPr>
        <w:t>中华人民共和国传染病防治法》</w:t>
      </w:r>
      <w:r>
        <w:rPr>
          <w:rStyle w:val="19"/>
          <w:rFonts w:hint="eastAsia" w:ascii="仿宋_GB2312" w:hAnsi="楷体" w:eastAsia="仿宋_GB2312"/>
          <w:b w:val="0"/>
          <w:spacing w:val="-4"/>
          <w:sz w:val="28"/>
          <w:szCs w:val="28"/>
          <w:lang w:eastAsia="zh-CN"/>
        </w:rPr>
        <w:t>制定</w:t>
      </w:r>
      <w:r>
        <w:rPr>
          <w:rStyle w:val="19"/>
          <w:rFonts w:hint="eastAsia" w:ascii="仿宋_GB2312" w:hAnsi="楷体" w:eastAsia="仿宋_GB2312"/>
          <w:b w:val="0"/>
          <w:spacing w:val="-4"/>
          <w:sz w:val="28"/>
          <w:szCs w:val="28"/>
        </w:rPr>
        <w:t>专项资金管理办法，各项资金使用审批流程均按规定办理。涉及“三重一大”内容，严格按照规定提请</w:t>
      </w:r>
      <w:r>
        <w:rPr>
          <w:rStyle w:val="19"/>
          <w:rFonts w:hint="eastAsia" w:ascii="仿宋_GB2312" w:hAnsi="楷体" w:eastAsia="仿宋_GB2312"/>
          <w:b w:val="0"/>
          <w:spacing w:val="-4"/>
          <w:sz w:val="28"/>
          <w:szCs w:val="28"/>
          <w:lang w:eastAsia="zh-CN"/>
        </w:rPr>
        <w:t>中心支部</w:t>
      </w:r>
      <w:r>
        <w:rPr>
          <w:rStyle w:val="19"/>
          <w:rFonts w:hint="eastAsia" w:ascii="仿宋_GB2312" w:hAnsi="楷体" w:eastAsia="仿宋_GB2312"/>
          <w:b w:val="0"/>
          <w:spacing w:val="-4"/>
          <w:sz w:val="28"/>
          <w:szCs w:val="28"/>
        </w:rPr>
        <w:t>会审议决定，包括项目资金分配、重大项目确定、大额资金支付等。</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2</w:t>
      </w:r>
      <w:r>
        <w:rPr>
          <w:rStyle w:val="19"/>
          <w:rFonts w:hint="eastAsia" w:ascii="仿宋_GB2312" w:hAnsi="楷体" w:eastAsia="仿宋_GB2312"/>
          <w:b w:val="0"/>
          <w:spacing w:val="-4"/>
          <w:sz w:val="28"/>
          <w:szCs w:val="28"/>
        </w:rPr>
        <w:t>）建立</w:t>
      </w:r>
      <w:r>
        <w:rPr>
          <w:rStyle w:val="19"/>
          <w:rFonts w:hint="eastAsia" w:ascii="仿宋_GB2312" w:hAnsi="楷体" w:eastAsia="仿宋_GB2312"/>
          <w:b w:val="0"/>
          <w:spacing w:val="-4"/>
          <w:sz w:val="28"/>
          <w:szCs w:val="28"/>
          <w:lang w:eastAsia="zh-CN"/>
        </w:rPr>
        <w:t>重大公共卫生专项、基本公共卫生服务</w:t>
      </w:r>
      <w:r>
        <w:rPr>
          <w:rStyle w:val="19"/>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（3）制订了</w:t>
      </w:r>
      <w:r>
        <w:rPr>
          <w:rStyle w:val="19"/>
          <w:rFonts w:hint="eastAsia" w:ascii="仿宋_GB2312" w:hAnsi="楷体" w:eastAsia="仿宋_GB2312"/>
          <w:b w:val="0"/>
          <w:spacing w:val="-4"/>
          <w:sz w:val="28"/>
          <w:szCs w:val="28"/>
          <w:lang w:eastAsia="zh-CN"/>
        </w:rPr>
        <w:t>基本、重大公共卫生服务</w:t>
      </w:r>
      <w:r>
        <w:rPr>
          <w:rStyle w:val="19"/>
          <w:rFonts w:hint="eastAsia" w:ascii="仿宋_GB2312" w:hAnsi="楷体" w:eastAsia="仿宋_GB2312"/>
          <w:b w:val="0"/>
          <w:spacing w:val="-4"/>
          <w:sz w:val="28"/>
          <w:szCs w:val="28"/>
        </w:rPr>
        <w:t>项目实施方案，确保项目</w:t>
      </w:r>
      <w:r>
        <w:rPr>
          <w:rStyle w:val="19"/>
          <w:rFonts w:hint="eastAsia" w:ascii="仿宋_GB2312" w:hAnsi="楷体" w:eastAsia="仿宋_GB2312"/>
          <w:b w:val="0"/>
          <w:spacing w:val="-4"/>
          <w:sz w:val="28"/>
          <w:szCs w:val="28"/>
          <w:lang w:eastAsia="zh-CN"/>
        </w:rPr>
        <w:t>按照时间节点完成</w:t>
      </w:r>
      <w:r>
        <w:rPr>
          <w:rStyle w:val="19"/>
          <w:rFonts w:hint="eastAsia" w:ascii="仿宋_GB2312" w:hAnsi="楷体" w:eastAsia="仿宋_GB2312"/>
          <w:b w:val="0"/>
          <w:spacing w:val="-4"/>
          <w:sz w:val="28"/>
          <w:szCs w:val="28"/>
        </w:rPr>
        <w:t>。</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（4）认真组织</w:t>
      </w:r>
      <w:r>
        <w:rPr>
          <w:rStyle w:val="19"/>
          <w:rFonts w:hint="eastAsia" w:ascii="仿宋_GB2312" w:hAnsi="楷体" w:eastAsia="仿宋_GB2312"/>
          <w:b w:val="0"/>
          <w:spacing w:val="-4"/>
          <w:sz w:val="28"/>
          <w:szCs w:val="28"/>
          <w:lang w:eastAsia="zh-CN"/>
        </w:rPr>
        <w:t>各</w:t>
      </w:r>
      <w:r>
        <w:rPr>
          <w:rStyle w:val="19"/>
          <w:rFonts w:hint="eastAsia" w:ascii="仿宋_GB2312" w:hAnsi="楷体" w:eastAsia="仿宋_GB2312"/>
          <w:b w:val="0"/>
          <w:spacing w:val="-4"/>
          <w:sz w:val="28"/>
          <w:szCs w:val="28"/>
        </w:rPr>
        <w:t>项目验收，确保</w:t>
      </w:r>
      <w:r>
        <w:rPr>
          <w:rStyle w:val="19"/>
          <w:rFonts w:hint="eastAsia" w:ascii="仿宋_GB2312" w:hAnsi="楷体" w:eastAsia="仿宋_GB2312"/>
          <w:b w:val="0"/>
          <w:spacing w:val="-4"/>
          <w:sz w:val="28"/>
          <w:szCs w:val="28"/>
          <w:lang w:eastAsia="zh-CN"/>
        </w:rPr>
        <w:t>数量、质量</w:t>
      </w:r>
      <w:r>
        <w:rPr>
          <w:rStyle w:val="19"/>
          <w:rFonts w:hint="eastAsia" w:ascii="仿宋_GB2312" w:hAnsi="楷体" w:eastAsia="仿宋_GB2312"/>
          <w:b w:val="0"/>
          <w:spacing w:val="-4"/>
          <w:sz w:val="28"/>
          <w:szCs w:val="28"/>
        </w:rPr>
        <w:t>。</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专项资金涉及政府采购项目的，按照</w:t>
      </w:r>
      <w:r>
        <w:rPr>
          <w:rStyle w:val="19"/>
          <w:rFonts w:hint="eastAsia" w:ascii="仿宋_GB2312" w:hAnsi="楷体" w:eastAsia="仿宋_GB2312"/>
          <w:b w:val="0"/>
          <w:spacing w:val="-4"/>
          <w:sz w:val="28"/>
          <w:szCs w:val="28"/>
          <w:lang w:eastAsia="zh-CN"/>
        </w:rPr>
        <w:t>新财购【</w:t>
      </w:r>
      <w:r>
        <w:rPr>
          <w:rStyle w:val="19"/>
          <w:rFonts w:hint="eastAsia" w:ascii="仿宋_GB2312" w:hAnsi="楷体" w:eastAsia="仿宋_GB2312"/>
          <w:b w:val="0"/>
          <w:spacing w:val="-4"/>
          <w:sz w:val="28"/>
          <w:szCs w:val="28"/>
          <w:lang w:val="en-US" w:eastAsia="zh-CN"/>
        </w:rPr>
        <w:t>2018</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16号</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eastAsia="zh-CN"/>
        </w:rPr>
        <w:t>新疆维吾尔自治区</w:t>
      </w:r>
      <w:r>
        <w:rPr>
          <w:rStyle w:val="19"/>
          <w:rFonts w:hint="eastAsia" w:ascii="仿宋_GB2312" w:hAnsi="楷体" w:eastAsia="仿宋_GB2312"/>
          <w:b w:val="0"/>
          <w:spacing w:val="-4"/>
          <w:sz w:val="28"/>
          <w:szCs w:val="28"/>
          <w:lang w:val="en-US" w:eastAsia="zh-CN"/>
        </w:rPr>
        <w:t>2019-2020年度政府集中采购目录和分散采购限额标准</w:t>
      </w:r>
      <w:r>
        <w:rPr>
          <w:rStyle w:val="19"/>
          <w:rFonts w:hint="eastAsia" w:ascii="仿宋_GB2312" w:hAnsi="楷体" w:eastAsia="仿宋_GB2312"/>
          <w:b w:val="0"/>
          <w:spacing w:val="-4"/>
          <w:sz w:val="28"/>
          <w:szCs w:val="28"/>
        </w:rPr>
        <w:t>》</w:t>
      </w:r>
      <w:r>
        <w:rPr>
          <w:rStyle w:val="19"/>
          <w:rFonts w:hint="eastAsia" w:eastAsia="仿宋_GB2312" w:asciiTheme="minorEastAsia" w:hAnsiTheme="minorEastAsia"/>
          <w:b w:val="0"/>
          <w:bCs/>
          <w:color w:val="auto"/>
          <w:spacing w:val="-4"/>
          <w:sz w:val="28"/>
          <w:szCs w:val="28"/>
          <w:lang w:eastAsia="zh-CN"/>
        </w:rPr>
        <w:t>的通知，</w:t>
      </w:r>
      <w:r>
        <w:rPr>
          <w:rStyle w:val="19"/>
          <w:rFonts w:hint="eastAsia" w:ascii="仿宋_GB2312" w:hAnsi="楷体" w:eastAsia="仿宋_GB2312"/>
          <w:b w:val="0"/>
          <w:spacing w:val="-4"/>
          <w:sz w:val="28"/>
          <w:szCs w:val="28"/>
        </w:rPr>
        <w:t>组织人员制定采购计划，按照财政局采购部门批复，进行公开招标、邀请招标等方式进行。</w:t>
      </w:r>
    </w:p>
    <w:p>
      <w:pPr>
        <w:pStyle w:val="4"/>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6"/>
        <w:numPr>
          <w:ilvl w:val="0"/>
          <w:numId w:val="3"/>
        </w:numPr>
        <w:spacing w:line="360" w:lineRule="auto"/>
        <w:rPr>
          <w:rStyle w:val="19"/>
          <w:rFonts w:ascii="仿宋" w:hAnsi="仿宋" w:eastAsia="仿宋"/>
          <w:b/>
          <w:bCs/>
        </w:rPr>
      </w:pPr>
      <w:bookmarkStart w:id="20" w:name="_Toc70450308"/>
      <w:r>
        <w:rPr>
          <w:rStyle w:val="19"/>
          <w:rFonts w:hint="eastAsia" w:ascii="仿宋" w:hAnsi="仿宋" w:eastAsia="仿宋"/>
          <w:b/>
          <w:bCs/>
        </w:rPr>
        <w:t>专项组织情况分析</w:t>
      </w:r>
      <w:bookmarkEnd w:id="20"/>
    </w:p>
    <w:p>
      <w:pPr>
        <w:snapToGrid w:val="0"/>
        <w:spacing w:line="360" w:lineRule="auto"/>
        <w:ind w:firstLine="544" w:firstLineChars="200"/>
        <w:rPr>
          <w:rStyle w:val="19"/>
          <w:rFonts w:ascii="仿宋_GB2312" w:hAnsi="楷体" w:eastAsia="仿宋_GB2312"/>
          <w:b w:val="0"/>
          <w:bCs w:val="0"/>
          <w:color w:val="FF0000"/>
          <w:spacing w:val="-4"/>
          <w:sz w:val="28"/>
          <w:szCs w:val="28"/>
        </w:rPr>
      </w:pPr>
      <w:r>
        <w:rPr>
          <w:rStyle w:val="19"/>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9"/>
          <w:rFonts w:hint="eastAsia"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年初</w:t>
      </w:r>
      <w:r>
        <w:rPr>
          <w:rStyle w:val="19"/>
          <w:rFonts w:hint="eastAsia" w:ascii="仿宋_GB2312" w:hAnsi="楷体" w:eastAsia="仿宋_GB2312"/>
          <w:b w:val="0"/>
          <w:bCs w:val="0"/>
          <w:spacing w:val="-4"/>
          <w:sz w:val="28"/>
          <w:szCs w:val="28"/>
          <w:lang w:val="en-US" w:eastAsia="zh-CN"/>
        </w:rPr>
        <w:t>特克斯县疾病预防控制中心</w:t>
      </w:r>
      <w:r>
        <w:rPr>
          <w:rStyle w:val="19"/>
          <w:rFonts w:hint="eastAsia" w:ascii="仿宋_GB2312" w:hAnsi="楷体" w:eastAsia="仿宋_GB2312"/>
          <w:b w:val="0"/>
          <w:bCs w:val="0"/>
          <w:spacing w:val="-4"/>
          <w:sz w:val="28"/>
          <w:szCs w:val="28"/>
        </w:rPr>
        <w:t>下发的</w:t>
      </w:r>
      <w:r>
        <w:rPr>
          <w:rStyle w:val="19"/>
          <w:rFonts w:hint="eastAsia" w:ascii="仿宋_GB2312" w:hAnsi="楷体" w:eastAsia="仿宋_GB2312"/>
          <w:b w:val="0"/>
          <w:bCs w:val="0"/>
          <w:spacing w:val="-4"/>
          <w:sz w:val="28"/>
          <w:szCs w:val="28"/>
          <w:lang w:val="en-US" w:eastAsia="zh-CN"/>
        </w:rPr>
        <w:t>中央重大公共卫生服务和基本公共卫生服务</w:t>
      </w:r>
      <w:r>
        <w:rPr>
          <w:rStyle w:val="19"/>
          <w:rFonts w:hint="eastAsia" w:ascii="仿宋_GB2312" w:hAnsi="楷体" w:eastAsia="仿宋_GB2312"/>
          <w:b w:val="0"/>
          <w:bCs w:val="0"/>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9"/>
          <w:rFonts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9"/>
          <w:rFonts w:hint="eastAsia"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lang w:val="en-US" w:eastAsia="zh-CN"/>
        </w:rPr>
        <w:t>特克斯县疾病预防控制中心</w:t>
      </w:r>
      <w:r>
        <w:rPr>
          <w:rStyle w:val="19"/>
          <w:rFonts w:hint="eastAsia" w:ascii="仿宋_GB2312" w:hAnsi="楷体" w:eastAsia="仿宋_GB2312"/>
          <w:b w:val="0"/>
          <w:bCs w:val="0"/>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9"/>
          <w:rFonts w:hint="eastAsia"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9"/>
          <w:rFonts w:hint="eastAsia" w:ascii="宋体" w:hAnsi="宋体" w:eastAsia="宋体"/>
          <w:color w:val="FF0000"/>
          <w:spacing w:val="-4"/>
          <w:sz w:val="28"/>
          <w:szCs w:val="28"/>
        </w:rPr>
      </w:pPr>
      <w:r>
        <w:rPr>
          <w:rStyle w:val="19"/>
          <w:rFonts w:hint="eastAsia" w:ascii="仿宋_GB2312" w:hAnsi="楷体" w:eastAsia="仿宋_GB2312"/>
          <w:b w:val="0"/>
          <w:bCs w:val="0"/>
          <w:spacing w:val="-4"/>
          <w:sz w:val="28"/>
          <w:szCs w:val="28"/>
        </w:rPr>
        <w:t>截止12月</w:t>
      </w:r>
      <w:r>
        <w:rPr>
          <w:rStyle w:val="19"/>
          <w:rFonts w:hint="eastAsia" w:ascii="仿宋_GB2312" w:hAnsi="楷体" w:eastAsia="仿宋_GB2312"/>
          <w:b w:val="0"/>
          <w:bCs w:val="0"/>
          <w:spacing w:val="-4"/>
          <w:sz w:val="28"/>
          <w:szCs w:val="28"/>
          <w:lang w:val="en-US" w:eastAsia="zh-CN"/>
        </w:rPr>
        <w:t>31</w:t>
      </w:r>
      <w:r>
        <w:rPr>
          <w:rStyle w:val="19"/>
          <w:rFonts w:hint="eastAsia" w:ascii="仿宋_GB2312" w:hAnsi="楷体" w:eastAsia="仿宋_GB2312"/>
          <w:b w:val="0"/>
          <w:bCs w:val="0"/>
          <w:spacing w:val="-4"/>
          <w:sz w:val="28"/>
          <w:szCs w:val="28"/>
        </w:rPr>
        <w:t>日，该专项均按照时间计划保质、保量完成。</w:t>
      </w:r>
    </w:p>
    <w:p>
      <w:pPr>
        <w:pStyle w:val="6"/>
        <w:numPr>
          <w:ilvl w:val="0"/>
          <w:numId w:val="3"/>
        </w:numPr>
        <w:spacing w:line="360" w:lineRule="auto"/>
        <w:rPr>
          <w:rStyle w:val="19"/>
          <w:rFonts w:ascii="仿宋" w:hAnsi="仿宋" w:eastAsia="仿宋"/>
          <w:b/>
          <w:bCs/>
        </w:rPr>
      </w:pPr>
      <w:bookmarkStart w:id="21" w:name="_Toc70450309"/>
      <w:r>
        <w:rPr>
          <w:rStyle w:val="19"/>
          <w:rFonts w:hint="eastAsia" w:ascii="仿宋" w:hAnsi="仿宋" w:eastAsia="仿宋"/>
          <w:b/>
          <w:bCs/>
        </w:rPr>
        <w:t>专项管理情况分析</w:t>
      </w:r>
      <w:bookmarkEnd w:id="21"/>
    </w:p>
    <w:p>
      <w:pPr>
        <w:spacing w:line="360" w:lineRule="auto"/>
        <w:ind w:firstLine="544" w:firstLineChars="200"/>
        <w:rPr>
          <w:rStyle w:val="19"/>
          <w:rFonts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highlight w:val="none"/>
        </w:rPr>
        <w:t>1、资金到位及使用情况</w:t>
      </w:r>
    </w:p>
    <w:p>
      <w:pPr>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楷体" w:eastAsia="仿宋_GB2312"/>
          <w:b w:val="0"/>
          <w:spacing w:val="-4"/>
          <w:sz w:val="28"/>
          <w:szCs w:val="28"/>
          <w:highlight w:val="none"/>
        </w:rPr>
        <w:t>2</w:t>
      </w:r>
      <w:r>
        <w:rPr>
          <w:rStyle w:val="19"/>
          <w:rFonts w:ascii="仿宋_GB2312" w:hAnsi="楷体" w:eastAsia="仿宋_GB2312"/>
          <w:b w:val="0"/>
          <w:spacing w:val="-4"/>
          <w:sz w:val="28"/>
          <w:szCs w:val="28"/>
          <w:highlight w:val="none"/>
        </w:rPr>
        <w:t>021</w:t>
      </w:r>
      <w:r>
        <w:rPr>
          <w:rStyle w:val="19"/>
          <w:rFonts w:hint="eastAsia" w:ascii="仿宋_GB2312" w:hAnsi="楷体" w:eastAsia="仿宋_GB2312"/>
          <w:b w:val="0"/>
          <w:spacing w:val="-4"/>
          <w:sz w:val="28"/>
          <w:szCs w:val="28"/>
          <w:highlight w:val="none"/>
        </w:rPr>
        <w:t>年涉及专项资金</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万元，实际到位</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万元，资金到位率</w:t>
      </w:r>
      <w:r>
        <w:rPr>
          <w:rStyle w:val="19"/>
          <w:rFonts w:hint="eastAsia" w:ascii="仿宋_GB2312" w:hAnsi="楷体" w:eastAsia="仿宋_GB2312"/>
          <w:b w:val="0"/>
          <w:spacing w:val="-4"/>
          <w:sz w:val="28"/>
          <w:szCs w:val="28"/>
          <w:highlight w:val="none"/>
          <w:lang w:val="en-US" w:eastAsia="zh-CN"/>
        </w:rPr>
        <w:t>100</w:t>
      </w:r>
      <w:r>
        <w:rPr>
          <w:rStyle w:val="19"/>
          <w:rFonts w:hint="eastAsia" w:ascii="仿宋_GB2312" w:hAnsi="楷体" w:eastAsia="仿宋_GB2312"/>
          <w:b w:val="0"/>
          <w:spacing w:val="-4"/>
          <w:sz w:val="28"/>
          <w:szCs w:val="28"/>
          <w:highlight w:val="none"/>
        </w:rPr>
        <w:t>%。截止到</w:t>
      </w:r>
      <w:r>
        <w:rPr>
          <w:rStyle w:val="19"/>
          <w:rFonts w:ascii="仿宋_GB2312" w:hAnsi="楷体" w:eastAsia="仿宋_GB2312"/>
          <w:b w:val="0"/>
          <w:spacing w:val="-4"/>
          <w:sz w:val="28"/>
          <w:szCs w:val="28"/>
          <w:highlight w:val="none"/>
        </w:rPr>
        <w:t>2021</w:t>
      </w:r>
      <w:r>
        <w:rPr>
          <w:rStyle w:val="19"/>
          <w:rFonts w:hint="eastAsia" w:ascii="仿宋_GB2312" w:hAnsi="楷体" w:eastAsia="仿宋_GB2312"/>
          <w:b w:val="0"/>
          <w:spacing w:val="-4"/>
          <w:sz w:val="28"/>
          <w:szCs w:val="28"/>
          <w:highlight w:val="none"/>
        </w:rPr>
        <w:t>年1</w:t>
      </w:r>
      <w:r>
        <w:rPr>
          <w:rStyle w:val="19"/>
          <w:rFonts w:ascii="仿宋_GB2312" w:hAnsi="楷体" w:eastAsia="仿宋_GB2312"/>
          <w:b w:val="0"/>
          <w:spacing w:val="-4"/>
          <w:sz w:val="28"/>
          <w:szCs w:val="28"/>
          <w:highlight w:val="none"/>
        </w:rPr>
        <w:t>2</w:t>
      </w:r>
      <w:r>
        <w:rPr>
          <w:rStyle w:val="19"/>
          <w:rFonts w:hint="eastAsia" w:ascii="仿宋_GB2312" w:hAnsi="楷体" w:eastAsia="仿宋_GB2312"/>
          <w:b w:val="0"/>
          <w:spacing w:val="-4"/>
          <w:sz w:val="28"/>
          <w:szCs w:val="28"/>
          <w:highlight w:val="none"/>
        </w:rPr>
        <w:t>月</w:t>
      </w:r>
      <w:r>
        <w:rPr>
          <w:rStyle w:val="19"/>
          <w:rFonts w:hint="eastAsia" w:ascii="仿宋_GB2312" w:hAnsi="楷体" w:eastAsia="仿宋_GB2312"/>
          <w:b w:val="0"/>
          <w:spacing w:val="-4"/>
          <w:sz w:val="28"/>
          <w:szCs w:val="28"/>
          <w:highlight w:val="none"/>
          <w:lang w:val="en-US" w:eastAsia="zh-CN"/>
        </w:rPr>
        <w:t>31</w:t>
      </w:r>
      <w:r>
        <w:rPr>
          <w:rStyle w:val="19"/>
          <w:rFonts w:hint="eastAsia" w:ascii="仿宋_GB2312" w:hAnsi="楷体" w:eastAsia="仿宋_GB2312"/>
          <w:b w:val="0"/>
          <w:spacing w:val="-4"/>
          <w:sz w:val="28"/>
          <w:szCs w:val="28"/>
          <w:highlight w:val="none"/>
        </w:rPr>
        <w:t>日执行</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万元，执行率</w:t>
      </w:r>
      <w:r>
        <w:rPr>
          <w:rStyle w:val="19"/>
          <w:rFonts w:hint="eastAsia" w:ascii="仿宋_GB2312" w:hAnsi="楷体" w:eastAsia="仿宋_GB2312"/>
          <w:b w:val="0"/>
          <w:spacing w:val="-4"/>
          <w:sz w:val="28"/>
          <w:szCs w:val="28"/>
          <w:highlight w:val="none"/>
          <w:lang w:val="en-US" w:eastAsia="zh-CN"/>
        </w:rPr>
        <w:t>100</w:t>
      </w:r>
      <w:r>
        <w:rPr>
          <w:rStyle w:val="19"/>
          <w:rFonts w:hint="eastAsia" w:ascii="仿宋_GB2312" w:hAnsi="楷体" w:eastAsia="仿宋_GB2312"/>
          <w:b w:val="0"/>
          <w:spacing w:val="-4"/>
          <w:sz w:val="28"/>
          <w:szCs w:val="28"/>
          <w:highlight w:val="none"/>
        </w:rPr>
        <w:t>%。其中：20</w:t>
      </w:r>
      <w:r>
        <w:rPr>
          <w:rStyle w:val="19"/>
          <w:rFonts w:ascii="仿宋_GB2312" w:hAnsi="楷体" w:eastAsia="仿宋_GB2312"/>
          <w:b w:val="0"/>
          <w:spacing w:val="-4"/>
          <w:sz w:val="28"/>
          <w:szCs w:val="28"/>
          <w:highlight w:val="none"/>
        </w:rPr>
        <w:t>21</w:t>
      </w:r>
      <w:r>
        <w:rPr>
          <w:rStyle w:val="19"/>
          <w:rFonts w:hint="eastAsia" w:ascii="仿宋_GB2312" w:hAnsi="楷体" w:eastAsia="仿宋_GB2312"/>
          <w:b w:val="0"/>
          <w:spacing w:val="-4"/>
          <w:sz w:val="28"/>
          <w:szCs w:val="28"/>
          <w:highlight w:val="none"/>
        </w:rPr>
        <w:t>年结转专项资金</w:t>
      </w:r>
      <w:r>
        <w:rPr>
          <w:rStyle w:val="19"/>
          <w:rFonts w:hint="eastAsia" w:ascii="仿宋_GB2312" w:hAnsi="楷体" w:eastAsia="仿宋_GB2312"/>
          <w:b w:val="0"/>
          <w:spacing w:val="-4"/>
          <w:sz w:val="28"/>
          <w:szCs w:val="28"/>
          <w:highlight w:val="none"/>
          <w:lang w:val="en-US" w:eastAsia="zh-CN"/>
        </w:rPr>
        <w:t>0</w:t>
      </w:r>
      <w:r>
        <w:rPr>
          <w:rStyle w:val="19"/>
          <w:rFonts w:hint="eastAsia" w:ascii="仿宋_GB2312" w:hAnsi="楷体" w:eastAsia="仿宋_GB2312"/>
          <w:b w:val="0"/>
          <w:spacing w:val="-4"/>
          <w:sz w:val="28"/>
          <w:szCs w:val="28"/>
          <w:highlight w:val="none"/>
        </w:rPr>
        <w:t>万元，实际执行</w:t>
      </w:r>
      <w:r>
        <w:rPr>
          <w:rStyle w:val="19"/>
          <w:rFonts w:hint="eastAsia" w:ascii="仿宋_GB2312" w:hAnsi="楷体" w:eastAsia="仿宋_GB2312"/>
          <w:b w:val="0"/>
          <w:spacing w:val="-4"/>
          <w:sz w:val="28"/>
          <w:szCs w:val="28"/>
          <w:highlight w:val="none"/>
          <w:lang w:val="en-US" w:eastAsia="zh-CN"/>
        </w:rPr>
        <w:t>0</w:t>
      </w:r>
      <w:r>
        <w:rPr>
          <w:rStyle w:val="19"/>
          <w:rFonts w:hint="eastAsia" w:ascii="仿宋_GB2312" w:hAnsi="楷体" w:eastAsia="仿宋_GB2312"/>
          <w:b w:val="0"/>
          <w:spacing w:val="-4"/>
          <w:sz w:val="28"/>
          <w:szCs w:val="28"/>
          <w:highlight w:val="none"/>
        </w:rPr>
        <w:t>万元，执行率为</w:t>
      </w:r>
      <w:r>
        <w:rPr>
          <w:rStyle w:val="19"/>
          <w:rFonts w:hint="eastAsia" w:ascii="仿宋_GB2312" w:hAnsi="楷体" w:eastAsia="仿宋_GB2312"/>
          <w:b w:val="0"/>
          <w:spacing w:val="-4"/>
          <w:sz w:val="28"/>
          <w:szCs w:val="28"/>
          <w:highlight w:val="none"/>
          <w:lang w:val="en-US" w:eastAsia="zh-CN"/>
        </w:rPr>
        <w:t>0</w:t>
      </w:r>
      <w:r>
        <w:rPr>
          <w:rStyle w:val="19"/>
          <w:rFonts w:hint="eastAsia" w:ascii="仿宋_GB2312" w:hAnsi="楷体" w:eastAsia="仿宋_GB2312"/>
          <w:b w:val="0"/>
          <w:spacing w:val="-4"/>
          <w:sz w:val="28"/>
          <w:szCs w:val="28"/>
          <w:highlight w:val="none"/>
        </w:rPr>
        <w:t>%；202</w:t>
      </w:r>
      <w:r>
        <w:rPr>
          <w:rStyle w:val="19"/>
          <w:rFonts w:ascii="仿宋_GB2312" w:hAnsi="楷体" w:eastAsia="仿宋_GB2312"/>
          <w:b w:val="0"/>
          <w:spacing w:val="-4"/>
          <w:sz w:val="28"/>
          <w:szCs w:val="28"/>
          <w:highlight w:val="none"/>
        </w:rPr>
        <w:t>1</w:t>
      </w:r>
      <w:r>
        <w:rPr>
          <w:rStyle w:val="19"/>
          <w:rFonts w:hint="eastAsia" w:ascii="仿宋_GB2312" w:hAnsi="楷体" w:eastAsia="仿宋_GB2312"/>
          <w:b w:val="0"/>
          <w:spacing w:val="-4"/>
          <w:sz w:val="28"/>
          <w:szCs w:val="28"/>
          <w:highlight w:val="none"/>
        </w:rPr>
        <w:t>年新增专项资金</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万元，实际执行</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万元，执行率为</w:t>
      </w:r>
      <w:r>
        <w:rPr>
          <w:rStyle w:val="19"/>
          <w:rFonts w:hint="eastAsia" w:ascii="仿宋_GB2312" w:hAnsi="楷体" w:eastAsia="仿宋_GB2312"/>
          <w:b w:val="0"/>
          <w:spacing w:val="-4"/>
          <w:sz w:val="28"/>
          <w:szCs w:val="28"/>
          <w:highlight w:val="none"/>
          <w:lang w:val="en-US" w:eastAsia="zh-CN"/>
        </w:rPr>
        <w:t>100</w:t>
      </w:r>
      <w:r>
        <w:rPr>
          <w:rStyle w:val="19"/>
          <w:rFonts w:hint="eastAsia" w:ascii="仿宋_GB2312" w:hAnsi="楷体" w:eastAsia="仿宋_GB2312"/>
          <w:b w:val="0"/>
          <w:spacing w:val="-4"/>
          <w:sz w:val="28"/>
          <w:szCs w:val="28"/>
          <w:highlight w:val="none"/>
        </w:rPr>
        <w:t>%。</w:t>
      </w:r>
    </w:p>
    <w:p>
      <w:pPr>
        <w:spacing w:line="360" w:lineRule="auto"/>
        <w:ind w:firstLine="544" w:firstLineChars="200"/>
        <w:rPr>
          <w:rStyle w:val="19"/>
          <w:rFonts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highlight w:val="none"/>
        </w:rPr>
        <w:t>2、资金管理情况</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highlight w:val="none"/>
          <w:lang w:val="en-US" w:eastAsia="zh-CN"/>
        </w:rPr>
        <w:t>特克斯县疾病预防控制中心</w:t>
      </w:r>
      <w:r>
        <w:rPr>
          <w:rStyle w:val="19"/>
          <w:rFonts w:hint="eastAsia" w:ascii="仿宋_GB2312" w:hAnsi="楷体" w:eastAsia="仿宋_GB2312"/>
          <w:b w:val="0"/>
          <w:color w:val="auto"/>
          <w:spacing w:val="-4"/>
          <w:sz w:val="28"/>
          <w:szCs w:val="28"/>
          <w:highlight w:val="none"/>
        </w:rPr>
        <w:t>严格执行</w:t>
      </w:r>
      <w:r>
        <w:rPr>
          <w:rStyle w:val="19"/>
          <w:rFonts w:hint="eastAsia" w:ascii="仿宋_GB2312" w:hAnsi="楷体" w:eastAsia="仿宋_GB2312"/>
          <w:b w:val="0"/>
          <w:color w:val="auto"/>
          <w:spacing w:val="-4"/>
          <w:sz w:val="28"/>
          <w:szCs w:val="28"/>
          <w:highlight w:val="none"/>
          <w:lang w:val="en-US" w:eastAsia="zh-CN"/>
        </w:rPr>
        <w:t>伊州财社</w:t>
      </w:r>
      <w:r>
        <w:rPr>
          <w:rStyle w:val="19"/>
          <w:rFonts w:hint="eastAsia" w:ascii="仿宋_GB2312" w:hAnsi="楷体" w:eastAsia="仿宋_GB2312"/>
          <w:b w:val="0"/>
          <w:color w:val="auto"/>
          <w:spacing w:val="-4"/>
          <w:sz w:val="28"/>
          <w:szCs w:val="28"/>
          <w:highlight w:val="none"/>
        </w:rPr>
        <w:t>【20</w:t>
      </w:r>
      <w:r>
        <w:rPr>
          <w:rStyle w:val="19"/>
          <w:rFonts w:hint="eastAsia" w:ascii="仿宋_GB2312" w:hAnsi="楷体" w:eastAsia="仿宋_GB2312"/>
          <w:b w:val="0"/>
          <w:color w:val="auto"/>
          <w:spacing w:val="-4"/>
          <w:sz w:val="28"/>
          <w:szCs w:val="28"/>
          <w:highlight w:val="none"/>
          <w:lang w:val="en-US" w:eastAsia="zh-CN"/>
        </w:rPr>
        <w:t>21</w:t>
      </w:r>
      <w:r>
        <w:rPr>
          <w:rStyle w:val="19"/>
          <w:rFonts w:hint="eastAsia" w:ascii="仿宋_GB2312" w:hAnsi="楷体" w:eastAsia="仿宋_GB2312"/>
          <w:b w:val="0"/>
          <w:color w:val="auto"/>
          <w:spacing w:val="-4"/>
          <w:sz w:val="28"/>
          <w:szCs w:val="28"/>
          <w:highlight w:val="none"/>
        </w:rPr>
        <w:t>】</w:t>
      </w:r>
      <w:r>
        <w:rPr>
          <w:rStyle w:val="19"/>
          <w:rFonts w:hint="eastAsia" w:ascii="仿宋_GB2312" w:hAnsi="楷体" w:eastAsia="仿宋_GB2312"/>
          <w:b w:val="0"/>
          <w:color w:val="auto"/>
          <w:spacing w:val="-4"/>
          <w:sz w:val="28"/>
          <w:szCs w:val="28"/>
          <w:highlight w:val="none"/>
          <w:lang w:val="en-US" w:eastAsia="zh-CN"/>
        </w:rPr>
        <w:t>127</w:t>
      </w:r>
      <w:r>
        <w:rPr>
          <w:rStyle w:val="19"/>
          <w:rFonts w:hint="eastAsia" w:ascii="仿宋_GB2312" w:hAnsi="楷体" w:eastAsia="仿宋_GB2312"/>
          <w:b w:val="0"/>
          <w:color w:val="auto"/>
          <w:spacing w:val="-4"/>
          <w:sz w:val="28"/>
          <w:szCs w:val="28"/>
          <w:highlight w:val="none"/>
        </w:rPr>
        <w:t>号</w:t>
      </w:r>
      <w:r>
        <w:rPr>
          <w:rStyle w:val="19"/>
          <w:rFonts w:hint="eastAsia" w:ascii="仿宋_GB2312" w:hAnsi="楷体" w:eastAsia="仿宋_GB2312"/>
          <w:b w:val="0"/>
          <w:color w:val="auto"/>
          <w:spacing w:val="-4"/>
          <w:sz w:val="28"/>
          <w:szCs w:val="28"/>
          <w:highlight w:val="none"/>
          <w:lang w:eastAsia="zh-CN"/>
        </w:rPr>
        <w:t>、</w:t>
      </w:r>
      <w:r>
        <w:rPr>
          <w:rStyle w:val="19"/>
          <w:rFonts w:hint="eastAsia" w:ascii="仿宋_GB2312" w:hAnsi="楷体" w:eastAsia="仿宋_GB2312"/>
          <w:b w:val="0"/>
          <w:color w:val="auto"/>
          <w:spacing w:val="-4"/>
          <w:sz w:val="28"/>
          <w:szCs w:val="28"/>
          <w:highlight w:val="none"/>
          <w:lang w:val="en-US" w:eastAsia="zh-CN"/>
        </w:rPr>
        <w:t>125号</w:t>
      </w:r>
      <w:r>
        <w:rPr>
          <w:rStyle w:val="19"/>
          <w:rFonts w:hint="eastAsia" w:ascii="仿宋_GB2312" w:hAnsi="楷体" w:eastAsia="仿宋_GB2312"/>
          <w:b w:val="0"/>
          <w:color w:val="auto"/>
          <w:spacing w:val="-4"/>
          <w:sz w:val="28"/>
          <w:szCs w:val="28"/>
          <w:highlight w:val="none"/>
        </w:rPr>
        <w:t>《</w:t>
      </w:r>
      <w:r>
        <w:rPr>
          <w:rStyle w:val="19"/>
          <w:rFonts w:hint="eastAsia" w:ascii="仿宋_GB2312" w:hAnsi="楷体" w:eastAsia="仿宋_GB2312"/>
          <w:b w:val="0"/>
          <w:color w:val="auto"/>
          <w:spacing w:val="-4"/>
          <w:sz w:val="28"/>
          <w:szCs w:val="28"/>
          <w:highlight w:val="none"/>
          <w:lang w:val="en-US" w:eastAsia="zh-CN"/>
        </w:rPr>
        <w:t>基本公共卫生</w:t>
      </w:r>
      <w:r>
        <w:rPr>
          <w:rStyle w:val="19"/>
          <w:rFonts w:hint="eastAsia" w:ascii="仿宋_GB2312" w:hAnsi="楷体" w:eastAsia="仿宋_GB2312"/>
          <w:b w:val="0"/>
          <w:color w:val="auto"/>
          <w:spacing w:val="-4"/>
          <w:sz w:val="28"/>
          <w:szCs w:val="28"/>
          <w:highlight w:val="none"/>
        </w:rPr>
        <w:t>专项资金管理办法》文件精神</w:t>
      </w:r>
      <w:r>
        <w:rPr>
          <w:rStyle w:val="19"/>
          <w:rFonts w:hint="eastAsia" w:ascii="仿宋_GB2312" w:hAnsi="楷体" w:eastAsia="仿宋_GB2312"/>
          <w:b w:val="0"/>
          <w:color w:val="auto"/>
          <w:spacing w:val="-4"/>
          <w:sz w:val="28"/>
          <w:szCs w:val="28"/>
        </w:rPr>
        <w:t>要求，加强对专项资金的绩效管理，确保专款专用，提高专项资金使用效益。遵守相关法律法规，严肃财经纪律，自觉接受财政、审计、监察监督检查。</w:t>
      </w:r>
    </w:p>
    <w:p>
      <w:pPr>
        <w:pStyle w:val="6"/>
        <w:numPr>
          <w:ilvl w:val="0"/>
          <w:numId w:val="3"/>
        </w:numPr>
        <w:spacing w:line="360" w:lineRule="auto"/>
        <w:rPr>
          <w:rStyle w:val="19"/>
          <w:rFonts w:ascii="仿宋" w:hAnsi="仿宋" w:eastAsia="仿宋"/>
          <w:b/>
          <w:bCs/>
        </w:rPr>
      </w:pPr>
      <w:r>
        <w:rPr>
          <w:rStyle w:val="19"/>
          <w:rFonts w:hint="eastAsia" w:ascii="仿宋" w:hAnsi="仿宋" w:eastAsia="仿宋"/>
          <w:b/>
          <w:bCs/>
        </w:rPr>
        <w:t>项目实施情况分析</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w:t>
      </w:r>
      <w:r>
        <w:rPr>
          <w:rStyle w:val="19"/>
          <w:rFonts w:ascii="仿宋_GB2312" w:hAnsi="楷体" w:eastAsia="仿宋_GB2312"/>
          <w:b w:val="0"/>
          <w:spacing w:val="-4"/>
          <w:sz w:val="28"/>
          <w:szCs w:val="28"/>
        </w:rPr>
        <w:t>、组织情况</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特克斯县疾病预防控制中心</w:t>
      </w:r>
      <w:r>
        <w:rPr>
          <w:rStyle w:val="19"/>
          <w:rFonts w:hint="eastAsia" w:ascii="仿宋_GB2312" w:hAnsi="楷体" w:eastAsia="仿宋_GB2312"/>
          <w:b w:val="0"/>
          <w:color w:val="auto"/>
          <w:spacing w:val="-4"/>
          <w:sz w:val="28"/>
          <w:szCs w:val="28"/>
        </w:rPr>
        <w:t>根据2</w:t>
      </w:r>
      <w:r>
        <w:rPr>
          <w:rStyle w:val="19"/>
          <w:rFonts w:hint="eastAsia" w:ascii="仿宋_GB2312" w:hAnsi="楷体" w:eastAsia="仿宋_GB2312"/>
          <w:b w:val="0"/>
          <w:color w:val="auto"/>
          <w:spacing w:val="-4"/>
          <w:sz w:val="28"/>
          <w:szCs w:val="28"/>
          <w:highlight w:val="none"/>
        </w:rPr>
        <w:t>02</w:t>
      </w:r>
      <w:r>
        <w:rPr>
          <w:rStyle w:val="19"/>
          <w:rFonts w:ascii="仿宋_GB2312" w:hAnsi="楷体" w:eastAsia="仿宋_GB2312"/>
          <w:b w:val="0"/>
          <w:color w:val="auto"/>
          <w:spacing w:val="-4"/>
          <w:sz w:val="28"/>
          <w:szCs w:val="28"/>
          <w:highlight w:val="none"/>
        </w:rPr>
        <w:t>1</w:t>
      </w:r>
      <w:r>
        <w:rPr>
          <w:rStyle w:val="19"/>
          <w:rFonts w:hint="eastAsia" w:ascii="仿宋_GB2312" w:hAnsi="楷体" w:eastAsia="仿宋_GB2312"/>
          <w:b w:val="0"/>
          <w:color w:val="auto"/>
          <w:spacing w:val="-4"/>
          <w:sz w:val="28"/>
          <w:szCs w:val="28"/>
          <w:highlight w:val="none"/>
        </w:rPr>
        <w:t>年</w:t>
      </w:r>
      <w:r>
        <w:rPr>
          <w:rStyle w:val="19"/>
          <w:rFonts w:hint="eastAsia" w:ascii="仿宋_GB2312" w:hAnsi="楷体" w:eastAsia="仿宋_GB2312"/>
          <w:b w:val="0"/>
          <w:color w:val="auto"/>
          <w:spacing w:val="-4"/>
          <w:sz w:val="28"/>
          <w:szCs w:val="28"/>
          <w:highlight w:val="none"/>
          <w:lang w:val="en-US" w:eastAsia="zh-CN"/>
        </w:rPr>
        <w:t>1</w:t>
      </w:r>
      <w:r>
        <w:rPr>
          <w:rStyle w:val="19"/>
          <w:rFonts w:hint="eastAsia" w:ascii="仿宋_GB2312" w:hAnsi="楷体" w:eastAsia="仿宋_GB2312"/>
          <w:b w:val="0"/>
          <w:color w:val="auto"/>
          <w:spacing w:val="-4"/>
          <w:sz w:val="28"/>
          <w:szCs w:val="28"/>
          <w:highlight w:val="none"/>
        </w:rPr>
        <w:t>个项目的绩效</w:t>
      </w:r>
      <w:r>
        <w:rPr>
          <w:rStyle w:val="19"/>
          <w:rFonts w:hint="eastAsia" w:ascii="仿宋_GB2312" w:hAnsi="楷体" w:eastAsia="仿宋_GB2312"/>
          <w:b w:val="0"/>
          <w:color w:val="auto"/>
          <w:spacing w:val="-4"/>
          <w:sz w:val="28"/>
          <w:szCs w:val="28"/>
        </w:rPr>
        <w:t>目标及工作内容，将其细化分工至本单位</w:t>
      </w:r>
      <w:r>
        <w:rPr>
          <w:rStyle w:val="19"/>
          <w:rFonts w:hint="eastAsia" w:ascii="仿宋_GB2312" w:hAnsi="楷体" w:eastAsia="仿宋_GB2312"/>
          <w:b w:val="0"/>
          <w:color w:val="auto"/>
          <w:spacing w:val="-4"/>
          <w:sz w:val="28"/>
          <w:szCs w:val="28"/>
          <w:lang w:val="en-US" w:eastAsia="zh-CN"/>
        </w:rPr>
        <w:t>8</w:t>
      </w:r>
      <w:r>
        <w:rPr>
          <w:rStyle w:val="19"/>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9"/>
          <w:rFonts w:ascii="仿宋_GB2312" w:hAnsi="楷体" w:eastAsia="仿宋_GB2312"/>
          <w:b w:val="0"/>
          <w:color w:val="auto"/>
          <w:spacing w:val="-4"/>
          <w:sz w:val="28"/>
          <w:szCs w:val="28"/>
        </w:rPr>
        <w:t>5</w:t>
      </w:r>
      <w:r>
        <w:rPr>
          <w:rStyle w:val="19"/>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w:t>
      </w:r>
      <w:r>
        <w:rPr>
          <w:rStyle w:val="19"/>
          <w:rFonts w:ascii="仿宋_GB2312" w:hAnsi="楷体" w:eastAsia="仿宋_GB2312"/>
          <w:b w:val="0"/>
          <w:color w:val="auto"/>
          <w:spacing w:val="-4"/>
          <w:sz w:val="28"/>
          <w:szCs w:val="28"/>
        </w:rPr>
        <w:t>、管理情况</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特克斯县疾病预防控制中心</w:t>
      </w:r>
      <w:r>
        <w:rPr>
          <w:rStyle w:val="19"/>
          <w:rFonts w:hint="eastAsia" w:ascii="仿宋_GB2312" w:hAnsi="楷体" w:eastAsia="仿宋_GB2312"/>
          <w:b w:val="0"/>
          <w:color w:val="auto"/>
          <w:spacing w:val="-4"/>
          <w:sz w:val="28"/>
          <w:szCs w:val="28"/>
          <w:highlight w:val="none"/>
        </w:rPr>
        <w:t>实施的</w:t>
      </w:r>
      <w:r>
        <w:rPr>
          <w:rStyle w:val="19"/>
          <w:rFonts w:hint="eastAsia" w:ascii="仿宋_GB2312" w:hAnsi="楷体" w:eastAsia="仿宋_GB2312"/>
          <w:b w:val="0"/>
          <w:color w:val="auto"/>
          <w:spacing w:val="-4"/>
          <w:sz w:val="28"/>
          <w:szCs w:val="28"/>
          <w:highlight w:val="none"/>
          <w:lang w:val="en-US" w:eastAsia="zh-CN"/>
        </w:rPr>
        <w:t>1</w:t>
      </w:r>
      <w:r>
        <w:rPr>
          <w:rStyle w:val="19"/>
          <w:rFonts w:hint="eastAsia" w:ascii="仿宋_GB2312" w:hAnsi="楷体" w:eastAsia="仿宋_GB2312"/>
          <w:b w:val="0"/>
          <w:color w:val="auto"/>
          <w:spacing w:val="-4"/>
          <w:sz w:val="28"/>
          <w:szCs w:val="28"/>
          <w:highlight w:val="none"/>
        </w:rPr>
        <w:t>个项目，由相关</w:t>
      </w:r>
      <w:r>
        <w:rPr>
          <w:rStyle w:val="19"/>
          <w:rFonts w:hint="eastAsia" w:ascii="仿宋_GB2312" w:hAnsi="楷体" w:eastAsia="仿宋_GB2312"/>
          <w:b w:val="0"/>
          <w:color w:val="auto"/>
          <w:spacing w:val="-4"/>
          <w:sz w:val="28"/>
          <w:szCs w:val="28"/>
        </w:rPr>
        <w:t>业务科室指派专人进行全过程跟踪管理科室负责人统筹推进项目实施，单位领导不定期对项目进度进行调度，并对项目质量进行控制。</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3</w:t>
      </w:r>
      <w:r>
        <w:rPr>
          <w:rStyle w:val="19"/>
          <w:rFonts w:ascii="仿宋_GB2312" w:hAnsi="楷体" w:eastAsia="仿宋_GB2312"/>
          <w:b w:val="0"/>
          <w:spacing w:val="-4"/>
          <w:sz w:val="28"/>
          <w:szCs w:val="28"/>
        </w:rPr>
        <w:t>、监管情况</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特克斯县疾病预防控制中心</w:t>
      </w:r>
      <w:r>
        <w:rPr>
          <w:rStyle w:val="19"/>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6"/>
        <w:numPr>
          <w:ilvl w:val="0"/>
          <w:numId w:val="3"/>
        </w:numPr>
        <w:spacing w:line="360" w:lineRule="auto"/>
        <w:rPr>
          <w:rStyle w:val="19"/>
          <w:rFonts w:ascii="仿宋" w:hAnsi="仿宋" w:eastAsia="仿宋"/>
          <w:b/>
          <w:bCs/>
        </w:rPr>
      </w:pPr>
      <w:r>
        <w:rPr>
          <w:rStyle w:val="19"/>
          <w:rFonts w:hint="eastAsia" w:ascii="仿宋" w:hAnsi="仿宋" w:eastAsia="仿宋"/>
          <w:b/>
          <w:bCs/>
        </w:rPr>
        <w:t>绩效情况分析</w:t>
      </w:r>
    </w:p>
    <w:p>
      <w:pPr>
        <w:spacing w:line="360" w:lineRule="auto"/>
        <w:ind w:firstLine="544" w:firstLineChars="200"/>
        <w:rPr>
          <w:rStyle w:val="19"/>
          <w:rFonts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1</w:t>
      </w:r>
      <w:r>
        <w:rPr>
          <w:rStyle w:val="19"/>
          <w:rFonts w:ascii="仿宋_GB2312" w:hAnsi="楷体" w:eastAsia="仿宋_GB2312"/>
          <w:b w:val="0"/>
          <w:bCs w:val="0"/>
          <w:spacing w:val="-4"/>
          <w:sz w:val="28"/>
          <w:szCs w:val="28"/>
        </w:rPr>
        <w:t>、成本控制情况</w:t>
      </w:r>
    </w:p>
    <w:p>
      <w:pPr>
        <w:ind w:firstLine="544" w:firstLineChars="200"/>
        <w:rPr>
          <w:rStyle w:val="19"/>
          <w:rFonts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lang w:val="en-US" w:eastAsia="zh-CN"/>
        </w:rPr>
        <w:t>特克斯县疾病预防控制中心，</w:t>
      </w:r>
      <w:r>
        <w:rPr>
          <w:rStyle w:val="19"/>
          <w:rFonts w:hint="eastAsia" w:ascii="仿宋_GB2312" w:hAnsi="楷体" w:eastAsia="仿宋_GB2312"/>
          <w:b w:val="0"/>
          <w:spacing w:val="-4"/>
          <w:sz w:val="28"/>
          <w:szCs w:val="28"/>
        </w:rPr>
        <w:t>所涉及专项项目均已于专项资金下达后按照资金文件及绩效管理要求设置</w:t>
      </w:r>
      <w:r>
        <w:rPr>
          <w:rStyle w:val="19"/>
          <w:rFonts w:hint="eastAsia" w:ascii="仿宋_GB2312" w:hAnsi="楷体" w:eastAsia="仿宋_GB2312"/>
          <w:b w:val="0"/>
          <w:spacing w:val="-4"/>
          <w:sz w:val="28"/>
          <w:szCs w:val="28"/>
          <w:highlight w:val="none"/>
        </w:rPr>
        <w:t>《项目绩效目标表》。</w:t>
      </w:r>
      <w:r>
        <w:rPr>
          <w:rStyle w:val="19"/>
          <w:rFonts w:hint="eastAsia" w:ascii="仿宋_GB2312" w:hAnsi="楷体" w:eastAsia="仿宋_GB2312"/>
          <w:b w:val="0"/>
          <w:spacing w:val="-4"/>
          <w:sz w:val="28"/>
          <w:szCs w:val="28"/>
          <w:highlight w:val="none"/>
          <w:lang w:val="en-US" w:eastAsia="zh-CN"/>
        </w:rPr>
        <w:t>1</w:t>
      </w:r>
      <w:r>
        <w:rPr>
          <w:rStyle w:val="19"/>
          <w:rFonts w:hint="eastAsia" w:ascii="仿宋_GB2312" w:hAnsi="楷体" w:eastAsia="仿宋_GB2312"/>
          <w:b w:val="0"/>
          <w:spacing w:val="-4"/>
          <w:sz w:val="28"/>
          <w:szCs w:val="28"/>
          <w:highlight w:val="none"/>
        </w:rPr>
        <w:t>个专项项目预算总额为</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9"/>
          <w:rFonts w:hint="eastAsia" w:ascii="仿宋_GB2312" w:hAnsi="楷体" w:eastAsia="仿宋_GB2312"/>
          <w:b w:val="0"/>
          <w:spacing w:val="-4"/>
          <w:sz w:val="28"/>
          <w:szCs w:val="28"/>
          <w:highlight w:val="none"/>
          <w:lang w:val="en-US" w:eastAsia="zh-CN"/>
        </w:rPr>
        <w:t>1</w:t>
      </w:r>
      <w:r>
        <w:rPr>
          <w:rStyle w:val="19"/>
          <w:rFonts w:hint="eastAsia" w:ascii="仿宋_GB2312" w:hAnsi="楷体" w:eastAsia="仿宋_GB2312"/>
          <w:b w:val="0"/>
          <w:spacing w:val="-4"/>
          <w:sz w:val="28"/>
          <w:szCs w:val="28"/>
          <w:highlight w:val="none"/>
        </w:rPr>
        <w:t>个项目总成本为</w:t>
      </w:r>
      <w:r>
        <w:rPr>
          <w:rStyle w:val="19"/>
          <w:rFonts w:hint="eastAsia" w:ascii="仿宋_GB2312" w:hAnsi="楷体" w:eastAsia="仿宋_GB2312"/>
          <w:b w:val="0"/>
          <w:spacing w:val="-4"/>
          <w:sz w:val="28"/>
          <w:szCs w:val="28"/>
          <w:highlight w:val="none"/>
          <w:lang w:val="en-US" w:eastAsia="zh-CN"/>
        </w:rPr>
        <w:t>168.42</w:t>
      </w:r>
      <w:r>
        <w:rPr>
          <w:rStyle w:val="19"/>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9"/>
          <w:rFonts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2</w:t>
      </w:r>
      <w:r>
        <w:rPr>
          <w:rStyle w:val="19"/>
          <w:rFonts w:ascii="仿宋_GB2312" w:hAnsi="楷体" w:eastAsia="仿宋_GB2312"/>
          <w:b w:val="0"/>
          <w:bCs w:val="0"/>
          <w:spacing w:val="-4"/>
          <w:sz w:val="28"/>
          <w:szCs w:val="28"/>
        </w:rPr>
        <w:t>、成本节约情况</w:t>
      </w:r>
    </w:p>
    <w:p>
      <w:pPr>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lang w:val="en-US" w:eastAsia="zh-CN"/>
        </w:rPr>
        <w:t>特克斯县疾病预防控制中心，</w:t>
      </w:r>
      <w:r>
        <w:rPr>
          <w:rStyle w:val="19"/>
          <w:rFonts w:hint="eastAsia" w:ascii="仿宋_GB2312" w:hAnsi="楷体" w:eastAsia="仿宋_GB2312"/>
          <w:b w:val="0"/>
          <w:spacing w:val="-4"/>
          <w:sz w:val="28"/>
          <w:szCs w:val="28"/>
        </w:rPr>
        <w:t>所涉及专项项目使用资金比专项项目总预算减少</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bookmarkStart w:id="22" w:name="_Hlk96097132"/>
      <w:r>
        <w:rPr>
          <w:rStyle w:val="19"/>
          <w:rFonts w:hint="eastAsia" w:ascii="仿宋_GB2312" w:hAnsi="楷体" w:eastAsia="仿宋_GB2312"/>
          <w:b w:val="0"/>
          <w:spacing w:val="-4"/>
          <w:sz w:val="28"/>
          <w:szCs w:val="28"/>
        </w:rPr>
        <w:t>项目节约率</w:t>
      </w:r>
      <w:bookmarkEnd w:id="22"/>
      <w:r>
        <w:rPr>
          <w:rStyle w:val="19"/>
          <w:rFonts w:hint="eastAsia" w:ascii="仿宋_GB2312" w:hAnsi="楷体" w:eastAsia="仿宋_GB2312"/>
          <w:b w:val="0"/>
          <w:spacing w:val="-4"/>
          <w:sz w:val="28"/>
          <w:szCs w:val="28"/>
        </w:rPr>
        <w:t>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w:t>
      </w:r>
    </w:p>
    <w:p>
      <w:pPr>
        <w:pStyle w:val="6"/>
        <w:numPr>
          <w:ilvl w:val="0"/>
          <w:numId w:val="3"/>
        </w:numPr>
        <w:spacing w:line="360" w:lineRule="auto"/>
        <w:rPr>
          <w:rStyle w:val="19"/>
          <w:rFonts w:hint="eastAsia" w:ascii="仿宋" w:hAnsi="仿宋" w:eastAsia="仿宋"/>
          <w:b/>
          <w:bCs/>
        </w:rPr>
      </w:pPr>
      <w:r>
        <w:rPr>
          <w:rStyle w:val="19"/>
          <w:rFonts w:hint="eastAsia" w:ascii="仿宋" w:hAnsi="仿宋" w:eastAsia="仿宋"/>
          <w:b/>
          <w:bCs/>
        </w:rPr>
        <w:t>项目效率性分析</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1、实施进度</w:t>
      </w:r>
    </w:p>
    <w:p>
      <w:pPr>
        <w:spacing w:line="360" w:lineRule="auto"/>
        <w:ind w:firstLine="544" w:firstLineChars="200"/>
        <w:rPr>
          <w:rStyle w:val="19"/>
          <w:rFonts w:hint="eastAsia"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rPr>
        <w:t>2021年</w:t>
      </w:r>
      <w:r>
        <w:rPr>
          <w:rStyle w:val="19"/>
          <w:rFonts w:hint="eastAsia" w:ascii="仿宋_GB2312" w:hAnsi="楷体" w:eastAsia="仿宋_GB2312"/>
          <w:b w:val="0"/>
          <w:spacing w:val="-4"/>
          <w:sz w:val="28"/>
          <w:szCs w:val="28"/>
          <w:lang w:val="en-US" w:eastAsia="zh-CN"/>
        </w:rPr>
        <w:t>特克斯县疾病预防控制中心</w:t>
      </w:r>
      <w:r>
        <w:rPr>
          <w:rStyle w:val="19"/>
          <w:rFonts w:hint="eastAsia" w:ascii="仿宋_GB2312" w:hAnsi="楷体" w:eastAsia="仿宋_GB2312"/>
          <w:b w:val="0"/>
          <w:spacing w:val="-4"/>
          <w:sz w:val="28"/>
          <w:szCs w:val="28"/>
        </w:rPr>
        <w:t>共涉</w:t>
      </w:r>
      <w:r>
        <w:rPr>
          <w:rStyle w:val="19"/>
          <w:rFonts w:hint="eastAsia" w:ascii="仿宋_GB2312" w:hAnsi="楷体" w:eastAsia="仿宋_GB2312"/>
          <w:b w:val="0"/>
          <w:spacing w:val="-4"/>
          <w:sz w:val="28"/>
          <w:szCs w:val="28"/>
          <w:highlight w:val="none"/>
        </w:rPr>
        <w:t>及专项项目</w:t>
      </w:r>
      <w:r>
        <w:rPr>
          <w:rStyle w:val="19"/>
          <w:rFonts w:hint="eastAsia" w:ascii="仿宋_GB2312" w:hAnsi="楷体" w:eastAsia="仿宋_GB2312"/>
          <w:b w:val="0"/>
          <w:spacing w:val="-4"/>
          <w:sz w:val="28"/>
          <w:szCs w:val="28"/>
          <w:highlight w:val="none"/>
          <w:lang w:val="en-US" w:eastAsia="zh-CN"/>
        </w:rPr>
        <w:t>1</w:t>
      </w:r>
      <w:r>
        <w:rPr>
          <w:rStyle w:val="19"/>
          <w:rFonts w:hint="eastAsia" w:ascii="仿宋_GB2312" w:hAnsi="楷体" w:eastAsia="仿宋_GB2312"/>
          <w:b w:val="0"/>
          <w:spacing w:val="-4"/>
          <w:sz w:val="28"/>
          <w:szCs w:val="28"/>
          <w:highlight w:val="none"/>
        </w:rPr>
        <w:t>个，截止到202</w:t>
      </w:r>
      <w:r>
        <w:rPr>
          <w:rStyle w:val="19"/>
          <w:rFonts w:hint="eastAsia" w:ascii="仿宋_GB2312" w:hAnsi="楷体" w:eastAsia="仿宋_GB2312"/>
          <w:b w:val="0"/>
          <w:spacing w:val="-4"/>
          <w:sz w:val="28"/>
          <w:szCs w:val="28"/>
          <w:highlight w:val="none"/>
          <w:lang w:val="en-US" w:eastAsia="zh-CN"/>
        </w:rPr>
        <w:t>1</w:t>
      </w:r>
      <w:r>
        <w:rPr>
          <w:rStyle w:val="19"/>
          <w:rFonts w:hint="eastAsia" w:ascii="仿宋_GB2312" w:hAnsi="楷体" w:eastAsia="仿宋_GB2312"/>
          <w:b w:val="0"/>
          <w:spacing w:val="-4"/>
          <w:sz w:val="28"/>
          <w:szCs w:val="28"/>
          <w:highlight w:val="none"/>
        </w:rPr>
        <w:t>年底，通过专项项目实施过程中的有效监督，我单位按预期完成了</w:t>
      </w:r>
      <w:r>
        <w:rPr>
          <w:rStyle w:val="19"/>
          <w:rFonts w:hint="eastAsia" w:ascii="仿宋_GB2312" w:hAnsi="楷体" w:eastAsia="仿宋_GB2312"/>
          <w:b w:val="0"/>
          <w:spacing w:val="-4"/>
          <w:sz w:val="28"/>
          <w:szCs w:val="28"/>
          <w:highlight w:val="none"/>
          <w:lang w:val="en-US" w:eastAsia="zh-CN"/>
        </w:rPr>
        <w:t>1</w:t>
      </w:r>
      <w:r>
        <w:rPr>
          <w:rStyle w:val="19"/>
          <w:rFonts w:hint="eastAsia" w:ascii="仿宋_GB2312" w:hAnsi="楷体" w:eastAsia="仿宋_GB2312"/>
          <w:b w:val="0"/>
          <w:spacing w:val="-4"/>
          <w:sz w:val="28"/>
          <w:szCs w:val="28"/>
          <w:highlight w:val="none"/>
        </w:rPr>
        <w:t>个专项的各项专项任务，项目总体完成率为</w:t>
      </w:r>
      <w:r>
        <w:rPr>
          <w:rStyle w:val="19"/>
          <w:rFonts w:hint="eastAsia" w:ascii="仿宋_GB2312" w:hAnsi="楷体" w:eastAsia="仿宋_GB2312"/>
          <w:b w:val="0"/>
          <w:spacing w:val="-4"/>
          <w:sz w:val="28"/>
          <w:szCs w:val="28"/>
          <w:highlight w:val="none"/>
          <w:lang w:val="en-US" w:eastAsia="zh-CN"/>
        </w:rPr>
        <w:t>100</w:t>
      </w:r>
      <w:r>
        <w:rPr>
          <w:rStyle w:val="19"/>
          <w:rFonts w:hint="eastAsia" w:ascii="仿宋_GB2312" w:hAnsi="楷体" w:eastAsia="仿宋_GB2312"/>
          <w:b w:val="0"/>
          <w:spacing w:val="-4"/>
          <w:sz w:val="28"/>
          <w:szCs w:val="28"/>
          <w:highlight w:val="none"/>
        </w:rPr>
        <w:t>%。</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2、完成质量</w:t>
      </w:r>
    </w:p>
    <w:p>
      <w:pPr>
        <w:spacing w:line="360" w:lineRule="auto"/>
        <w:ind w:firstLine="544" w:firstLineChars="200"/>
        <w:rPr>
          <w:rStyle w:val="19"/>
          <w:rFonts w:hint="eastAsia" w:ascii="仿宋_GB2312" w:hAnsi="楷体" w:eastAsia="仿宋_GB2312"/>
          <w:b w:val="0"/>
          <w:spacing w:val="-4"/>
          <w:sz w:val="28"/>
          <w:szCs w:val="28"/>
          <w:highlight w:val="none"/>
        </w:rPr>
      </w:pPr>
      <w:bookmarkStart w:id="23" w:name="_Hlk96100380"/>
      <w:r>
        <w:rPr>
          <w:rStyle w:val="19"/>
          <w:rFonts w:hint="eastAsia" w:ascii="仿宋_GB2312" w:hAnsi="楷体" w:eastAsia="仿宋_GB2312"/>
          <w:b w:val="0"/>
          <w:spacing w:val="-4"/>
          <w:sz w:val="28"/>
          <w:szCs w:val="28"/>
          <w:highlight w:val="none"/>
          <w:lang w:val="en-US" w:eastAsia="zh-CN"/>
        </w:rPr>
        <w:t>1</w:t>
      </w:r>
      <w:r>
        <w:rPr>
          <w:rStyle w:val="19"/>
          <w:rFonts w:hint="eastAsia" w:ascii="仿宋_GB2312" w:hAnsi="楷体" w:eastAsia="仿宋_GB2312"/>
          <w:b w:val="0"/>
          <w:spacing w:val="-4"/>
          <w:sz w:val="28"/>
          <w:szCs w:val="28"/>
          <w:highlight w:val="none"/>
        </w:rPr>
        <w:t>个专项项目完成质量情况如下：</w:t>
      </w:r>
      <w:bookmarkEnd w:id="23"/>
    </w:p>
    <w:p>
      <w:pPr>
        <w:spacing w:line="360" w:lineRule="auto"/>
        <w:ind w:firstLine="544" w:firstLineChars="200"/>
        <w:rPr>
          <w:rStyle w:val="19"/>
          <w:rFonts w:hint="eastAsia" w:ascii="仿宋_GB2312" w:hAnsi="楷体" w:eastAsia="仿宋_GB2312"/>
          <w:b w:val="0"/>
          <w:spacing w:val="-4"/>
          <w:sz w:val="28"/>
          <w:szCs w:val="28"/>
        </w:rPr>
      </w:pPr>
      <w:r>
        <w:rPr>
          <w:rStyle w:val="19"/>
          <w:rFonts w:hint="eastAsia" w:ascii="仿宋_GB2312" w:hAnsi="楷体" w:eastAsia="仿宋_GB2312"/>
          <w:b w:val="0"/>
          <w:spacing w:val="-4"/>
          <w:sz w:val="28"/>
          <w:szCs w:val="28"/>
          <w:lang w:val="en-US" w:eastAsia="zh-CN"/>
        </w:rPr>
        <w:t>1、</w:t>
      </w:r>
      <w:r>
        <w:rPr>
          <w:rStyle w:val="19"/>
          <w:rFonts w:hint="eastAsia" w:ascii="仿宋_GB2312" w:hAnsi="楷体" w:eastAsia="仿宋_GB2312" w:cstheme="minorBidi"/>
          <w:b w:val="0"/>
          <w:spacing w:val="-4"/>
          <w:kern w:val="2"/>
          <w:sz w:val="28"/>
          <w:szCs w:val="28"/>
          <w:lang w:val="en-US" w:eastAsia="zh-CN" w:bidi="ar-SA"/>
        </w:rPr>
        <w:t>基本公共卫生服务项目传染病防治工作：</w:t>
      </w:r>
      <w:r>
        <w:rPr>
          <w:rStyle w:val="19"/>
          <w:rFonts w:hint="eastAsia" w:ascii="仿宋_GB2312" w:hAnsi="楷体" w:eastAsia="仿宋_GB2312"/>
          <w:b w:val="0"/>
          <w:spacing w:val="-4"/>
          <w:sz w:val="28"/>
          <w:szCs w:val="28"/>
          <w:lang w:val="en-US" w:eastAsia="zh-CN"/>
        </w:rPr>
        <w:t>传染病网络直报：2021年1月1日零时至10月1日24时，全县无甲类传染病报告，共报告乙、丙类法定管理传染病病例11种、397例，报告发病率为242.56/10万，较去年同期（569例</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val="en-US" w:eastAsia="zh-CN"/>
        </w:rPr>
        <w:t>下降</w:t>
      </w:r>
      <w:r>
        <w:rPr>
          <w:rStyle w:val="19"/>
          <w:rFonts w:hint="eastAsia" w:ascii="仿宋_GB2312" w:hAnsi="楷体" w:eastAsia="仿宋_GB2312"/>
          <w:b w:val="0"/>
          <w:spacing w:val="-4"/>
          <w:sz w:val="28"/>
          <w:szCs w:val="28"/>
        </w:rPr>
        <w:t>了</w:t>
      </w:r>
      <w:r>
        <w:rPr>
          <w:rStyle w:val="19"/>
          <w:rFonts w:hint="eastAsia" w:ascii="仿宋_GB2312" w:hAnsi="楷体" w:eastAsia="仿宋_GB2312"/>
          <w:b w:val="0"/>
          <w:spacing w:val="-4"/>
          <w:sz w:val="28"/>
          <w:szCs w:val="28"/>
          <w:lang w:val="en-US" w:eastAsia="zh-CN"/>
        </w:rPr>
        <w:t>30.2%；</w:t>
      </w:r>
      <w:r>
        <w:rPr>
          <w:rStyle w:val="19"/>
          <w:rFonts w:hint="eastAsia" w:ascii="仿宋_GB2312" w:hAnsi="楷体" w:eastAsia="仿宋_GB2312"/>
          <w:b w:val="0"/>
          <w:spacing w:val="-4"/>
          <w:sz w:val="28"/>
          <w:szCs w:val="28"/>
        </w:rPr>
        <w:t>死亡</w:t>
      </w:r>
      <w:r>
        <w:rPr>
          <w:rStyle w:val="19"/>
          <w:rFonts w:hint="eastAsia" w:ascii="仿宋_GB2312" w:hAnsi="楷体" w:eastAsia="仿宋_GB2312"/>
          <w:b w:val="0"/>
          <w:spacing w:val="-4"/>
          <w:sz w:val="28"/>
          <w:szCs w:val="28"/>
          <w:lang w:val="en-US" w:eastAsia="zh-CN"/>
        </w:rPr>
        <w:t>5</w:t>
      </w:r>
      <w:r>
        <w:rPr>
          <w:rStyle w:val="19"/>
          <w:rFonts w:hint="eastAsia" w:ascii="仿宋_GB2312" w:hAnsi="楷体" w:eastAsia="仿宋_GB2312"/>
          <w:b w:val="0"/>
          <w:spacing w:val="-4"/>
          <w:sz w:val="28"/>
          <w:szCs w:val="28"/>
        </w:rPr>
        <w:t>例</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均为艾滋病</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死亡数与去年同期</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val="en-US" w:eastAsia="zh-CN"/>
        </w:rPr>
        <w:t>2</w:t>
      </w:r>
      <w:r>
        <w:rPr>
          <w:rStyle w:val="19"/>
          <w:rFonts w:hint="eastAsia" w:ascii="仿宋_GB2312" w:hAnsi="楷体" w:eastAsia="仿宋_GB2312"/>
          <w:b w:val="0"/>
          <w:spacing w:val="-4"/>
          <w:sz w:val="28"/>
          <w:szCs w:val="28"/>
        </w:rPr>
        <w:t>例）</w:t>
      </w:r>
      <w:r>
        <w:rPr>
          <w:rStyle w:val="19"/>
          <w:rFonts w:hint="eastAsia" w:ascii="仿宋_GB2312" w:hAnsi="楷体" w:eastAsia="仿宋_GB2312"/>
          <w:b w:val="0"/>
          <w:spacing w:val="-4"/>
          <w:sz w:val="28"/>
          <w:szCs w:val="28"/>
          <w:lang w:val="en-US" w:eastAsia="zh-CN"/>
        </w:rPr>
        <w:t>上升了150%，</w:t>
      </w:r>
      <w:r>
        <w:rPr>
          <w:rStyle w:val="19"/>
          <w:rFonts w:hint="eastAsia" w:ascii="仿宋_GB2312" w:hAnsi="楷体" w:eastAsia="仿宋_GB2312"/>
          <w:b w:val="0"/>
          <w:spacing w:val="-4"/>
          <w:sz w:val="28"/>
          <w:szCs w:val="28"/>
        </w:rPr>
        <w:t>死亡率为</w:t>
      </w:r>
      <w:r>
        <w:rPr>
          <w:rStyle w:val="19"/>
          <w:rFonts w:hint="eastAsia" w:ascii="仿宋_GB2312" w:hAnsi="楷体" w:eastAsia="仿宋_GB2312"/>
          <w:b w:val="0"/>
          <w:spacing w:val="-4"/>
          <w:sz w:val="28"/>
          <w:szCs w:val="28"/>
          <w:lang w:val="en-US" w:eastAsia="zh-CN"/>
        </w:rPr>
        <w:t>3.05</w:t>
      </w:r>
      <w:r>
        <w:rPr>
          <w:rStyle w:val="19"/>
          <w:rFonts w:hint="eastAsia" w:ascii="仿宋_GB2312" w:hAnsi="楷体" w:eastAsia="仿宋_GB2312"/>
          <w:b w:val="0"/>
          <w:spacing w:val="-4"/>
          <w:sz w:val="28"/>
          <w:szCs w:val="28"/>
        </w:rPr>
        <w:t>/10万</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病死率为1.26%</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val="en-US" w:eastAsia="zh-CN"/>
        </w:rPr>
        <w:t>27</w:t>
      </w:r>
      <w:r>
        <w:rPr>
          <w:rStyle w:val="19"/>
          <w:rFonts w:hint="eastAsia" w:ascii="仿宋_GB2312" w:hAnsi="楷体" w:eastAsia="仿宋_GB2312"/>
          <w:b w:val="0"/>
          <w:spacing w:val="-4"/>
          <w:sz w:val="28"/>
          <w:szCs w:val="28"/>
        </w:rPr>
        <w:t>种乙类传染病中</w:t>
      </w:r>
      <w:r>
        <w:rPr>
          <w:rStyle w:val="19"/>
          <w:rFonts w:hint="eastAsia" w:ascii="仿宋_GB2312" w:hAnsi="楷体" w:eastAsia="仿宋_GB2312"/>
          <w:b w:val="0"/>
          <w:spacing w:val="-4"/>
          <w:sz w:val="28"/>
          <w:szCs w:val="28"/>
          <w:lang w:val="en-US" w:eastAsia="zh-CN"/>
        </w:rPr>
        <w:t>至9月26日，</w:t>
      </w:r>
      <w:r>
        <w:rPr>
          <w:rStyle w:val="19"/>
          <w:rFonts w:hint="eastAsia" w:ascii="仿宋_GB2312" w:hAnsi="楷体" w:eastAsia="仿宋_GB2312"/>
          <w:b w:val="0"/>
          <w:spacing w:val="-4"/>
          <w:sz w:val="28"/>
          <w:szCs w:val="28"/>
        </w:rPr>
        <w:t>共报告</w:t>
      </w:r>
      <w:r>
        <w:rPr>
          <w:rStyle w:val="19"/>
          <w:rFonts w:hint="eastAsia" w:ascii="仿宋_GB2312" w:hAnsi="楷体" w:eastAsia="仿宋_GB2312"/>
          <w:b w:val="0"/>
          <w:spacing w:val="-4"/>
          <w:sz w:val="28"/>
          <w:szCs w:val="28"/>
          <w:lang w:val="en-US" w:eastAsia="zh-CN"/>
        </w:rPr>
        <w:t>6</w:t>
      </w:r>
      <w:r>
        <w:rPr>
          <w:rStyle w:val="19"/>
          <w:rFonts w:hint="eastAsia" w:ascii="仿宋_GB2312" w:hAnsi="楷体" w:eastAsia="仿宋_GB2312"/>
          <w:b w:val="0"/>
          <w:spacing w:val="-4"/>
          <w:sz w:val="28"/>
          <w:szCs w:val="28"/>
        </w:rPr>
        <w:t>种，</w:t>
      </w:r>
      <w:r>
        <w:rPr>
          <w:rStyle w:val="19"/>
          <w:rFonts w:hint="eastAsia" w:ascii="仿宋_GB2312" w:hAnsi="楷体" w:eastAsia="仿宋_GB2312"/>
          <w:b w:val="0"/>
          <w:spacing w:val="-4"/>
          <w:sz w:val="28"/>
          <w:szCs w:val="28"/>
          <w:lang w:val="en-US" w:eastAsia="zh-CN"/>
        </w:rPr>
        <w:t>374</w:t>
      </w:r>
      <w:r>
        <w:rPr>
          <w:rStyle w:val="19"/>
          <w:rFonts w:hint="eastAsia" w:ascii="仿宋_GB2312" w:hAnsi="楷体" w:eastAsia="仿宋_GB2312"/>
          <w:b w:val="0"/>
          <w:spacing w:val="-4"/>
          <w:sz w:val="28"/>
          <w:szCs w:val="28"/>
        </w:rPr>
        <w:t>例，较</w:t>
      </w:r>
      <w:r>
        <w:rPr>
          <w:rStyle w:val="19"/>
          <w:rFonts w:hint="eastAsia" w:ascii="仿宋_GB2312" w:hAnsi="楷体" w:eastAsia="仿宋_GB2312"/>
          <w:b w:val="0"/>
          <w:spacing w:val="-4"/>
          <w:sz w:val="28"/>
          <w:szCs w:val="28"/>
          <w:lang w:val="en-US" w:eastAsia="zh-CN"/>
        </w:rPr>
        <w:t>去年同期的</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val="en-US" w:eastAsia="zh-CN"/>
        </w:rPr>
        <w:t>406</w:t>
      </w:r>
      <w:r>
        <w:rPr>
          <w:rStyle w:val="19"/>
          <w:rFonts w:hint="eastAsia" w:ascii="仿宋_GB2312" w:hAnsi="楷体" w:eastAsia="仿宋_GB2312"/>
          <w:b w:val="0"/>
          <w:spacing w:val="-4"/>
          <w:sz w:val="28"/>
          <w:szCs w:val="28"/>
        </w:rPr>
        <w:t>例）</w:t>
      </w:r>
      <w:r>
        <w:rPr>
          <w:rStyle w:val="19"/>
          <w:rFonts w:hint="eastAsia" w:ascii="仿宋_GB2312" w:hAnsi="楷体" w:eastAsia="仿宋_GB2312"/>
          <w:b w:val="0"/>
          <w:spacing w:val="-4"/>
          <w:sz w:val="28"/>
          <w:szCs w:val="28"/>
          <w:lang w:eastAsia="zh-CN"/>
        </w:rPr>
        <w:t>下降</w:t>
      </w:r>
      <w:r>
        <w:rPr>
          <w:rStyle w:val="19"/>
          <w:rFonts w:hint="eastAsia" w:ascii="仿宋_GB2312" w:hAnsi="楷体" w:eastAsia="仿宋_GB2312"/>
          <w:b w:val="0"/>
          <w:spacing w:val="-4"/>
          <w:sz w:val="28"/>
          <w:szCs w:val="28"/>
        </w:rPr>
        <w:t>了</w:t>
      </w:r>
      <w:r>
        <w:rPr>
          <w:rStyle w:val="19"/>
          <w:rFonts w:hint="eastAsia" w:ascii="仿宋_GB2312" w:hAnsi="楷体" w:eastAsia="仿宋_GB2312"/>
          <w:b w:val="0"/>
          <w:spacing w:val="-4"/>
          <w:sz w:val="28"/>
          <w:szCs w:val="28"/>
          <w:lang w:val="en-US" w:eastAsia="zh-CN"/>
        </w:rPr>
        <w:t>7.88</w:t>
      </w:r>
      <w:r>
        <w:rPr>
          <w:rStyle w:val="19"/>
          <w:rFonts w:hint="eastAsia" w:ascii="仿宋_GB2312" w:hAnsi="楷体" w:eastAsia="仿宋_GB2312"/>
          <w:b w:val="0"/>
          <w:spacing w:val="-4"/>
          <w:sz w:val="28"/>
          <w:szCs w:val="28"/>
        </w:rPr>
        <w:t>%，报告发病率为</w:t>
      </w:r>
      <w:r>
        <w:rPr>
          <w:rStyle w:val="19"/>
          <w:rFonts w:hint="eastAsia" w:ascii="仿宋_GB2312" w:hAnsi="楷体" w:eastAsia="仿宋_GB2312"/>
          <w:b w:val="0"/>
          <w:spacing w:val="-4"/>
          <w:sz w:val="28"/>
          <w:szCs w:val="28"/>
          <w:lang w:val="en-US" w:eastAsia="zh-CN"/>
        </w:rPr>
        <w:t>228.5</w:t>
      </w:r>
      <w:r>
        <w:rPr>
          <w:rStyle w:val="19"/>
          <w:rFonts w:hint="eastAsia" w:ascii="仿宋_GB2312" w:hAnsi="楷体" w:eastAsia="仿宋_GB2312"/>
          <w:b w:val="0"/>
          <w:spacing w:val="-4"/>
          <w:sz w:val="28"/>
          <w:szCs w:val="28"/>
        </w:rPr>
        <w:t>/10万；报告死亡数</w:t>
      </w:r>
      <w:r>
        <w:rPr>
          <w:rStyle w:val="19"/>
          <w:rFonts w:hint="eastAsia" w:ascii="仿宋_GB2312" w:hAnsi="楷体" w:eastAsia="仿宋_GB2312"/>
          <w:b w:val="0"/>
          <w:spacing w:val="-4"/>
          <w:sz w:val="28"/>
          <w:szCs w:val="28"/>
          <w:lang w:val="en-US" w:eastAsia="zh-CN"/>
        </w:rPr>
        <w:t>5</w:t>
      </w:r>
      <w:r>
        <w:rPr>
          <w:rStyle w:val="19"/>
          <w:rFonts w:hint="eastAsia" w:ascii="仿宋_GB2312" w:hAnsi="楷体" w:eastAsia="仿宋_GB2312"/>
          <w:b w:val="0"/>
          <w:spacing w:val="-4"/>
          <w:sz w:val="28"/>
          <w:szCs w:val="28"/>
        </w:rPr>
        <w:t>例（</w:t>
      </w:r>
      <w:r>
        <w:rPr>
          <w:rStyle w:val="19"/>
          <w:rFonts w:hint="eastAsia" w:ascii="仿宋_GB2312" w:hAnsi="楷体" w:eastAsia="仿宋_GB2312"/>
          <w:b w:val="0"/>
          <w:spacing w:val="-4"/>
          <w:sz w:val="28"/>
          <w:szCs w:val="28"/>
          <w:lang w:val="en-US" w:eastAsia="zh-CN"/>
        </w:rPr>
        <w:t>均</w:t>
      </w:r>
      <w:r>
        <w:rPr>
          <w:rStyle w:val="19"/>
          <w:rFonts w:hint="eastAsia" w:ascii="仿宋_GB2312" w:hAnsi="楷体" w:eastAsia="仿宋_GB2312"/>
          <w:b w:val="0"/>
          <w:spacing w:val="-4"/>
          <w:sz w:val="28"/>
          <w:szCs w:val="28"/>
        </w:rPr>
        <w:t>艾滋病），死亡率为</w:t>
      </w:r>
      <w:r>
        <w:rPr>
          <w:rStyle w:val="19"/>
          <w:rFonts w:hint="eastAsia" w:ascii="仿宋_GB2312" w:hAnsi="楷体" w:eastAsia="仿宋_GB2312"/>
          <w:b w:val="0"/>
          <w:spacing w:val="-4"/>
          <w:sz w:val="28"/>
          <w:szCs w:val="28"/>
          <w:lang w:val="en-US" w:eastAsia="zh-CN"/>
        </w:rPr>
        <w:t>3.05</w:t>
      </w:r>
      <w:r>
        <w:rPr>
          <w:rStyle w:val="19"/>
          <w:rFonts w:hint="eastAsia" w:ascii="仿宋_GB2312" w:hAnsi="楷体" w:eastAsia="仿宋_GB2312"/>
          <w:b w:val="0"/>
          <w:spacing w:val="-4"/>
          <w:sz w:val="28"/>
          <w:szCs w:val="28"/>
        </w:rPr>
        <w:t>/10万</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病死率为1.26%</w:t>
      </w:r>
      <w:r>
        <w:rPr>
          <w:rStyle w:val="19"/>
          <w:rFonts w:hint="eastAsia" w:ascii="仿宋_GB2312" w:hAnsi="楷体" w:eastAsia="仿宋_GB2312"/>
          <w:b w:val="0"/>
          <w:spacing w:val="-4"/>
          <w:sz w:val="28"/>
          <w:szCs w:val="28"/>
        </w:rPr>
        <w:t>。11种丙类传染病中本月共报告</w:t>
      </w:r>
      <w:r>
        <w:rPr>
          <w:rStyle w:val="19"/>
          <w:rFonts w:hint="eastAsia" w:ascii="仿宋_GB2312" w:hAnsi="楷体" w:eastAsia="仿宋_GB2312"/>
          <w:b w:val="0"/>
          <w:spacing w:val="-4"/>
          <w:sz w:val="28"/>
          <w:szCs w:val="28"/>
          <w:lang w:val="en-US" w:eastAsia="zh-CN"/>
        </w:rPr>
        <w:t>5</w:t>
      </w:r>
      <w:r>
        <w:rPr>
          <w:rStyle w:val="19"/>
          <w:rFonts w:hint="eastAsia" w:ascii="仿宋_GB2312" w:hAnsi="楷体" w:eastAsia="仿宋_GB2312"/>
          <w:b w:val="0"/>
          <w:spacing w:val="-4"/>
          <w:sz w:val="28"/>
          <w:szCs w:val="28"/>
        </w:rPr>
        <w:t>种，</w:t>
      </w:r>
      <w:r>
        <w:rPr>
          <w:rStyle w:val="19"/>
          <w:rFonts w:hint="eastAsia" w:ascii="仿宋_GB2312" w:hAnsi="楷体" w:eastAsia="仿宋_GB2312"/>
          <w:b w:val="0"/>
          <w:spacing w:val="-4"/>
          <w:sz w:val="28"/>
          <w:szCs w:val="28"/>
          <w:lang w:val="en-US" w:eastAsia="zh-CN"/>
        </w:rPr>
        <w:t>23</w:t>
      </w:r>
      <w:r>
        <w:rPr>
          <w:rStyle w:val="19"/>
          <w:rFonts w:hint="eastAsia" w:ascii="仿宋_GB2312" w:hAnsi="楷体" w:eastAsia="仿宋_GB2312"/>
          <w:b w:val="0"/>
          <w:spacing w:val="-4"/>
          <w:sz w:val="28"/>
          <w:szCs w:val="28"/>
        </w:rPr>
        <w:t>例，较去年同期（</w:t>
      </w:r>
      <w:r>
        <w:rPr>
          <w:rStyle w:val="19"/>
          <w:rFonts w:hint="eastAsia" w:ascii="仿宋_GB2312" w:hAnsi="楷体" w:eastAsia="仿宋_GB2312"/>
          <w:b w:val="0"/>
          <w:spacing w:val="-4"/>
          <w:sz w:val="28"/>
          <w:szCs w:val="28"/>
          <w:lang w:val="en-US" w:eastAsia="zh-CN"/>
        </w:rPr>
        <w:t>163</w:t>
      </w:r>
      <w:r>
        <w:rPr>
          <w:rStyle w:val="19"/>
          <w:rFonts w:hint="eastAsia" w:ascii="仿宋_GB2312" w:hAnsi="楷体" w:eastAsia="仿宋_GB2312"/>
          <w:b w:val="0"/>
          <w:spacing w:val="-4"/>
          <w:sz w:val="28"/>
          <w:szCs w:val="28"/>
        </w:rPr>
        <w:t>例）</w:t>
      </w:r>
      <w:r>
        <w:rPr>
          <w:rStyle w:val="19"/>
          <w:rFonts w:hint="eastAsia" w:ascii="仿宋_GB2312" w:hAnsi="楷体" w:eastAsia="仿宋_GB2312"/>
          <w:b w:val="0"/>
          <w:spacing w:val="-4"/>
          <w:sz w:val="28"/>
          <w:szCs w:val="28"/>
          <w:lang w:val="en-US" w:eastAsia="zh-CN"/>
        </w:rPr>
        <w:t>下降了608</w:t>
      </w:r>
      <w:r>
        <w:rPr>
          <w:rStyle w:val="19"/>
          <w:rFonts w:hint="eastAsia" w:ascii="仿宋_GB2312" w:hAnsi="楷体" w:eastAsia="仿宋_GB2312"/>
          <w:b w:val="0"/>
          <w:spacing w:val="-4"/>
          <w:sz w:val="28"/>
          <w:szCs w:val="28"/>
        </w:rPr>
        <w:t>%，报告发病率为</w:t>
      </w:r>
      <w:r>
        <w:rPr>
          <w:rStyle w:val="19"/>
          <w:rFonts w:hint="eastAsia" w:ascii="仿宋_GB2312" w:hAnsi="楷体" w:eastAsia="仿宋_GB2312"/>
          <w:b w:val="0"/>
          <w:spacing w:val="-4"/>
          <w:sz w:val="28"/>
          <w:szCs w:val="28"/>
          <w:lang w:val="en-US" w:eastAsia="zh-CN"/>
        </w:rPr>
        <w:t>14.05</w:t>
      </w:r>
      <w:r>
        <w:rPr>
          <w:rStyle w:val="19"/>
          <w:rFonts w:hint="eastAsia" w:ascii="仿宋_GB2312" w:hAnsi="楷体" w:eastAsia="仿宋_GB2312"/>
          <w:b w:val="0"/>
          <w:spacing w:val="-4"/>
          <w:sz w:val="28"/>
          <w:szCs w:val="28"/>
        </w:rPr>
        <w:t>/10万，无死亡病例。</w:t>
      </w:r>
    </w:p>
    <w:p>
      <w:pPr>
        <w:pStyle w:val="6"/>
        <w:numPr>
          <w:ilvl w:val="0"/>
          <w:numId w:val="3"/>
        </w:numPr>
        <w:spacing w:line="360" w:lineRule="auto"/>
      </w:pPr>
      <w:r>
        <w:rPr>
          <w:rStyle w:val="19"/>
          <w:rFonts w:hint="eastAsia" w:ascii="仿宋" w:hAnsi="仿宋" w:eastAsia="仿宋"/>
          <w:b/>
          <w:bCs/>
        </w:rPr>
        <w:t>项目效益性分析</w:t>
      </w:r>
    </w:p>
    <w:p>
      <w:pPr>
        <w:ind w:firstLine="544" w:firstLineChars="200"/>
        <w:rPr>
          <w:rStyle w:val="19"/>
          <w:rFonts w:ascii="仿宋_GB2312" w:hAnsi="楷体" w:eastAsia="仿宋_GB2312"/>
          <w:b w:val="0"/>
          <w:bCs w:val="0"/>
          <w:spacing w:val="-4"/>
          <w:sz w:val="28"/>
          <w:szCs w:val="28"/>
          <w:highlight w:val="none"/>
        </w:rPr>
      </w:pPr>
      <w:r>
        <w:rPr>
          <w:rStyle w:val="19"/>
          <w:rFonts w:hint="eastAsia" w:ascii="仿宋_GB2312" w:hAnsi="楷体" w:eastAsia="仿宋_GB2312"/>
          <w:b w:val="0"/>
          <w:bCs w:val="0"/>
          <w:spacing w:val="-4"/>
          <w:sz w:val="28"/>
          <w:szCs w:val="28"/>
          <w:highlight w:val="none"/>
          <w:lang w:val="en-US" w:eastAsia="zh-CN"/>
        </w:rPr>
        <w:t>1</w:t>
      </w:r>
      <w:r>
        <w:rPr>
          <w:rStyle w:val="19"/>
          <w:rFonts w:hint="eastAsia" w:ascii="仿宋_GB2312" w:hAnsi="楷体" w:eastAsia="仿宋_GB2312"/>
          <w:b w:val="0"/>
          <w:bCs w:val="0"/>
          <w:spacing w:val="-4"/>
          <w:sz w:val="28"/>
          <w:szCs w:val="28"/>
          <w:highlight w:val="none"/>
        </w:rPr>
        <w:t>个专项项目预期目标完成程度、实施对经济和社会的影响如下：</w:t>
      </w:r>
    </w:p>
    <w:p>
      <w:pPr>
        <w:numPr>
          <w:ilvl w:val="0"/>
          <w:numId w:val="4"/>
        </w:numPr>
        <w:spacing w:line="360" w:lineRule="auto"/>
        <w:ind w:firstLine="544" w:firstLineChars="200"/>
        <w:rPr>
          <w:rFonts w:hint="default"/>
          <w:lang w:val="en-US" w:eastAsia="zh-CN"/>
        </w:rPr>
      </w:pPr>
      <w:r>
        <w:rPr>
          <w:rStyle w:val="19"/>
          <w:rFonts w:hint="eastAsia" w:ascii="仿宋_GB2312" w:hAnsi="楷体" w:eastAsia="仿宋_GB2312"/>
          <w:b w:val="0"/>
          <w:spacing w:val="-4"/>
          <w:sz w:val="28"/>
          <w:szCs w:val="28"/>
          <w:lang w:val="en-US" w:eastAsia="zh-CN"/>
        </w:rPr>
        <w:t>基本公共卫生服务项目：结核病项目工作：</w:t>
      </w:r>
      <w:r>
        <w:rPr>
          <w:rStyle w:val="19"/>
          <w:rFonts w:hint="eastAsia" w:ascii="仿宋_GB2312" w:hAnsi="楷体" w:eastAsia="仿宋_GB2312"/>
          <w:b w:val="0"/>
          <w:spacing w:val="-4"/>
          <w:sz w:val="28"/>
          <w:szCs w:val="28"/>
          <w:lang w:eastAsia="zh-CN"/>
        </w:rPr>
        <w:t>肺结核患者成功治疗率</w:t>
      </w:r>
      <w:r>
        <w:rPr>
          <w:rStyle w:val="19"/>
          <w:rFonts w:hint="eastAsia" w:ascii="仿宋_GB2312" w:hAnsi="楷体" w:eastAsia="仿宋_GB2312"/>
          <w:b w:val="0"/>
          <w:spacing w:val="-4"/>
          <w:sz w:val="28"/>
          <w:szCs w:val="28"/>
          <w:lang w:val="en-US" w:eastAsia="zh-CN"/>
        </w:rPr>
        <w:t>90%， 肺结核病原学阳性密切接触者筛查率95%，结核病报告追踪费20元/例。</w:t>
      </w:r>
      <w:r>
        <w:rPr>
          <w:rStyle w:val="19"/>
          <w:rFonts w:hint="eastAsia" w:ascii="仿宋_GB2312" w:hAnsi="楷体" w:eastAsia="仿宋_GB2312"/>
          <w:b w:val="0"/>
          <w:spacing w:val="-4"/>
          <w:sz w:val="28"/>
          <w:szCs w:val="28"/>
        </w:rPr>
        <w:t>进一步降低结核病的感染、发病与死亡，遏制结核病流行与危害，加快推进健康特克斯建设，促进社会和谐发展，保障各族人民群众身体健康，提高人口的健康水平</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包虫病项目工作：包虫人群主动筛查任务完成率70%，犬驱虫完成率60%，</w:t>
      </w:r>
      <w:r>
        <w:rPr>
          <w:rStyle w:val="19"/>
          <w:rFonts w:hint="eastAsia" w:ascii="仿宋_GB2312" w:hAnsi="楷体" w:eastAsia="仿宋_GB2312"/>
          <w:b w:val="0"/>
          <w:spacing w:val="-4"/>
          <w:sz w:val="28"/>
          <w:szCs w:val="28"/>
        </w:rPr>
        <w:t>在完极开展病人救治，减轻患者负担，加强包虫病流行区传染源犬 的管理，有效控制包虫病在我县的流行。</w:t>
      </w:r>
      <w:r>
        <w:rPr>
          <w:rStyle w:val="19"/>
          <w:rFonts w:hint="eastAsia" w:ascii="仿宋_GB2312" w:hAnsi="楷体" w:eastAsia="仿宋_GB2312"/>
          <w:b w:val="0"/>
          <w:spacing w:val="-4"/>
          <w:sz w:val="28"/>
          <w:szCs w:val="28"/>
          <w:lang w:val="en-US" w:eastAsia="zh-CN"/>
        </w:rPr>
        <w:t>学生常见病项目工作：购置窗帘数量602扇，购置灯管数量458个，改善学生用眼环境。1、积极探索，依托家长、学校、社会，联动合作机制，努力做好学生常见病的防治工作。2、积极开展学生常见病、多发病监测（贫血、龋齿、营养不良和肥胖、沙眼、视力低下），掌握我校学生常见病的发病情况。3、积极倡导、大力推行行之有效的措施，使学生常见病发病率逐年下降，确保学生身体健康。</w:t>
      </w:r>
    </w:p>
    <w:p>
      <w:pPr>
        <w:pStyle w:val="4"/>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5"/>
        <w:spacing w:line="360" w:lineRule="auto"/>
        <w:rPr>
          <w:rStyle w:val="19"/>
          <w:rFonts w:ascii="仿宋" w:hAnsi="仿宋" w:eastAsia="仿宋"/>
          <w:b/>
          <w:bCs/>
        </w:rPr>
      </w:pPr>
      <w:bookmarkStart w:id="25" w:name="_Toc70450311"/>
      <w:r>
        <w:rPr>
          <w:rStyle w:val="19"/>
          <w:rFonts w:hint="eastAsia" w:ascii="仿宋" w:hAnsi="仿宋" w:eastAsia="仿宋"/>
          <w:b/>
          <w:bCs/>
        </w:rPr>
        <w:t>（一）资产配置情况</w:t>
      </w:r>
      <w:bookmarkEnd w:id="25"/>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202</w:t>
      </w:r>
      <w:r>
        <w:rPr>
          <w:rStyle w:val="19"/>
          <w:rFonts w:hint="eastAsia" w:ascii="仿宋_GB2312" w:hAnsi="宋体" w:eastAsia="仿宋_GB2312"/>
          <w:b w:val="0"/>
          <w:bCs w:val="0"/>
          <w:spacing w:val="-4"/>
          <w:sz w:val="28"/>
          <w:szCs w:val="28"/>
          <w:lang w:val="en-US" w:eastAsia="zh-CN"/>
        </w:rPr>
        <w:t>1</w:t>
      </w:r>
      <w:r>
        <w:rPr>
          <w:rStyle w:val="19"/>
          <w:rFonts w:hint="eastAsia" w:ascii="仿宋_GB2312" w:hAnsi="宋体" w:eastAsia="仿宋_GB2312"/>
          <w:b w:val="0"/>
          <w:bCs w:val="0"/>
          <w:spacing w:val="-4"/>
          <w:sz w:val="28"/>
          <w:szCs w:val="28"/>
        </w:rPr>
        <w:t>年</w:t>
      </w:r>
      <w:r>
        <w:rPr>
          <w:rStyle w:val="19"/>
          <w:rFonts w:hint="eastAsia" w:ascii="仿宋_GB2312" w:hAnsi="宋体" w:eastAsia="仿宋_GB2312"/>
          <w:b w:val="0"/>
          <w:bCs w:val="0"/>
          <w:spacing w:val="-4"/>
          <w:sz w:val="28"/>
          <w:szCs w:val="28"/>
          <w:lang w:val="en-US" w:eastAsia="zh-CN"/>
        </w:rPr>
        <w:t>特克斯县疾病预防控制中心</w:t>
      </w:r>
      <w:r>
        <w:rPr>
          <w:rStyle w:val="19"/>
          <w:rFonts w:hint="eastAsia" w:ascii="仿宋_GB2312" w:hAnsi="宋体" w:eastAsia="仿宋_GB2312"/>
          <w:b w:val="0"/>
          <w:bCs w:val="0"/>
          <w:spacing w:val="-4"/>
          <w:sz w:val="28"/>
          <w:szCs w:val="28"/>
        </w:rPr>
        <w:t>资产总额</w:t>
      </w:r>
      <w:r>
        <w:rPr>
          <w:rStyle w:val="19"/>
          <w:rFonts w:hint="eastAsia" w:ascii="仿宋_GB2312" w:hAnsi="宋体" w:eastAsia="仿宋_GB2312"/>
          <w:b w:val="0"/>
          <w:bCs w:val="0"/>
          <w:spacing w:val="-4"/>
          <w:sz w:val="28"/>
          <w:szCs w:val="28"/>
          <w:lang w:val="en-US" w:eastAsia="zh-CN"/>
        </w:rPr>
        <w:t>1423.91</w:t>
      </w:r>
      <w:r>
        <w:rPr>
          <w:rStyle w:val="19"/>
          <w:rFonts w:hint="eastAsia" w:ascii="仿宋_GB2312" w:hAnsi="宋体" w:eastAsia="仿宋_GB2312"/>
          <w:b w:val="0"/>
          <w:bCs w:val="0"/>
          <w:spacing w:val="-4"/>
          <w:sz w:val="28"/>
          <w:szCs w:val="28"/>
        </w:rPr>
        <w:t>万元，其中流动资产</w:t>
      </w:r>
      <w:r>
        <w:rPr>
          <w:rStyle w:val="19"/>
          <w:rFonts w:hint="eastAsia" w:ascii="仿宋_GB2312" w:hAnsi="宋体" w:eastAsia="仿宋_GB2312"/>
          <w:b w:val="0"/>
          <w:bCs w:val="0"/>
          <w:spacing w:val="-4"/>
          <w:sz w:val="28"/>
          <w:szCs w:val="28"/>
          <w:lang w:val="en-US" w:eastAsia="zh-CN"/>
        </w:rPr>
        <w:t>207.15</w:t>
      </w:r>
      <w:r>
        <w:rPr>
          <w:rStyle w:val="19"/>
          <w:rFonts w:hint="eastAsia" w:ascii="仿宋_GB2312" w:hAnsi="宋体" w:eastAsia="仿宋_GB2312"/>
          <w:b w:val="0"/>
          <w:bCs w:val="0"/>
          <w:spacing w:val="-4"/>
          <w:sz w:val="28"/>
          <w:szCs w:val="28"/>
        </w:rPr>
        <w:t>万元，固定资产净值</w:t>
      </w:r>
      <w:r>
        <w:rPr>
          <w:rStyle w:val="19"/>
          <w:rFonts w:ascii="仿宋_GB2312" w:hAnsi="宋体" w:eastAsia="仿宋_GB2312"/>
          <w:b w:val="0"/>
          <w:bCs w:val="0"/>
          <w:spacing w:val="-4"/>
          <w:sz w:val="28"/>
          <w:szCs w:val="28"/>
        </w:rPr>
        <w:t xml:space="preserve"> </w:t>
      </w:r>
      <w:r>
        <w:rPr>
          <w:rStyle w:val="19"/>
          <w:rFonts w:hint="eastAsia" w:ascii="仿宋_GB2312" w:hAnsi="宋体" w:eastAsia="仿宋_GB2312"/>
          <w:b w:val="0"/>
          <w:bCs w:val="0"/>
          <w:spacing w:val="-4"/>
          <w:sz w:val="28"/>
          <w:szCs w:val="28"/>
          <w:lang w:val="en-US" w:eastAsia="zh-CN"/>
        </w:rPr>
        <w:t>1216.76</w:t>
      </w:r>
      <w:r>
        <w:rPr>
          <w:rStyle w:val="19"/>
          <w:rFonts w:hint="eastAsia" w:ascii="仿宋_GB2312" w:hAnsi="宋体" w:eastAsia="仿宋_GB2312"/>
          <w:b w:val="0"/>
          <w:bCs w:val="0"/>
          <w:spacing w:val="-4"/>
          <w:sz w:val="28"/>
          <w:szCs w:val="28"/>
        </w:rPr>
        <w:t>万元（其中：土地、房屋及构筑物</w:t>
      </w:r>
      <w:r>
        <w:rPr>
          <w:rStyle w:val="19"/>
          <w:rFonts w:hint="eastAsia" w:ascii="仿宋_GB2312" w:hAnsi="宋体" w:eastAsia="仿宋_GB2312"/>
          <w:b w:val="0"/>
          <w:bCs w:val="0"/>
          <w:spacing w:val="-4"/>
          <w:sz w:val="28"/>
          <w:szCs w:val="28"/>
          <w:lang w:val="en-US" w:eastAsia="zh-CN"/>
        </w:rPr>
        <w:t>954.68</w:t>
      </w:r>
      <w:r>
        <w:rPr>
          <w:rStyle w:val="19"/>
          <w:rFonts w:hint="eastAsia" w:ascii="仿宋_GB2312" w:hAnsi="宋体" w:eastAsia="仿宋_GB2312"/>
          <w:b w:val="0"/>
          <w:bCs w:val="0"/>
          <w:spacing w:val="-4"/>
          <w:sz w:val="28"/>
          <w:szCs w:val="28"/>
        </w:rPr>
        <w:t>万元，占固定资产净值的</w:t>
      </w:r>
      <w:r>
        <w:rPr>
          <w:rStyle w:val="19"/>
          <w:rFonts w:hint="eastAsia" w:ascii="仿宋_GB2312" w:hAnsi="宋体" w:eastAsia="仿宋_GB2312"/>
          <w:b w:val="0"/>
          <w:bCs w:val="0"/>
          <w:spacing w:val="-4"/>
          <w:sz w:val="28"/>
          <w:szCs w:val="28"/>
          <w:lang w:val="en-US" w:eastAsia="zh-CN"/>
        </w:rPr>
        <w:t>78.46</w:t>
      </w:r>
      <w:r>
        <w:rPr>
          <w:rStyle w:val="19"/>
          <w:rFonts w:hint="eastAsia" w:ascii="仿宋_GB2312" w:hAnsi="宋体" w:eastAsia="仿宋_GB2312"/>
          <w:b w:val="0"/>
          <w:bCs w:val="0"/>
          <w:spacing w:val="-4"/>
          <w:sz w:val="28"/>
          <w:szCs w:val="28"/>
        </w:rPr>
        <w:t>%；通用设备</w:t>
      </w:r>
      <w:r>
        <w:rPr>
          <w:rStyle w:val="19"/>
          <w:rFonts w:hint="eastAsia" w:ascii="仿宋_GB2312" w:hAnsi="宋体" w:eastAsia="仿宋_GB2312"/>
          <w:b w:val="0"/>
          <w:bCs w:val="0"/>
          <w:spacing w:val="-4"/>
          <w:sz w:val="28"/>
          <w:szCs w:val="28"/>
          <w:lang w:val="en-US" w:eastAsia="zh-CN"/>
        </w:rPr>
        <w:t>42.32</w:t>
      </w:r>
      <w:r>
        <w:rPr>
          <w:rStyle w:val="19"/>
          <w:rFonts w:hint="eastAsia" w:ascii="仿宋_GB2312" w:hAnsi="宋体" w:eastAsia="仿宋_GB2312"/>
          <w:b w:val="0"/>
          <w:bCs w:val="0"/>
          <w:spacing w:val="-4"/>
          <w:sz w:val="28"/>
          <w:szCs w:val="28"/>
        </w:rPr>
        <w:t>万元，占固定资产净值的</w:t>
      </w:r>
      <w:r>
        <w:rPr>
          <w:rStyle w:val="19"/>
          <w:rFonts w:hint="eastAsia" w:ascii="仿宋_GB2312" w:hAnsi="宋体" w:eastAsia="仿宋_GB2312"/>
          <w:b w:val="0"/>
          <w:bCs w:val="0"/>
          <w:spacing w:val="-4"/>
          <w:sz w:val="28"/>
          <w:szCs w:val="28"/>
          <w:lang w:val="en-US" w:eastAsia="zh-CN"/>
        </w:rPr>
        <w:t>3.48</w:t>
      </w:r>
      <w:r>
        <w:rPr>
          <w:rStyle w:val="19"/>
          <w:rFonts w:hint="eastAsia" w:ascii="仿宋_GB2312" w:hAnsi="宋体" w:eastAsia="仿宋_GB2312"/>
          <w:b w:val="0"/>
          <w:bCs w:val="0"/>
          <w:spacing w:val="-4"/>
          <w:sz w:val="28"/>
          <w:szCs w:val="28"/>
        </w:rPr>
        <w:t>%；专用设备</w:t>
      </w:r>
      <w:r>
        <w:rPr>
          <w:rStyle w:val="19"/>
          <w:rFonts w:hint="eastAsia" w:ascii="仿宋_GB2312" w:hAnsi="宋体" w:eastAsia="仿宋_GB2312"/>
          <w:b w:val="0"/>
          <w:bCs w:val="0"/>
          <w:spacing w:val="-4"/>
          <w:sz w:val="28"/>
          <w:szCs w:val="28"/>
          <w:lang w:val="en-US" w:eastAsia="zh-CN"/>
        </w:rPr>
        <w:t>211</w:t>
      </w:r>
      <w:r>
        <w:rPr>
          <w:rStyle w:val="19"/>
          <w:rFonts w:hint="eastAsia" w:ascii="仿宋_GB2312" w:hAnsi="宋体" w:eastAsia="仿宋_GB2312"/>
          <w:b w:val="0"/>
          <w:bCs w:val="0"/>
          <w:spacing w:val="-4"/>
          <w:sz w:val="28"/>
          <w:szCs w:val="28"/>
        </w:rPr>
        <w:t>万元，占固定资产净值的</w:t>
      </w:r>
      <w:r>
        <w:rPr>
          <w:rStyle w:val="19"/>
          <w:rFonts w:hint="eastAsia" w:ascii="仿宋_GB2312" w:hAnsi="宋体" w:eastAsia="仿宋_GB2312"/>
          <w:b w:val="0"/>
          <w:bCs w:val="0"/>
          <w:spacing w:val="-4"/>
          <w:sz w:val="28"/>
          <w:szCs w:val="28"/>
          <w:lang w:val="en-US" w:eastAsia="zh-CN"/>
        </w:rPr>
        <w:t>17.34</w:t>
      </w:r>
      <w:r>
        <w:rPr>
          <w:rStyle w:val="19"/>
          <w:rFonts w:hint="eastAsia" w:ascii="仿宋_GB2312" w:hAnsi="宋体" w:eastAsia="仿宋_GB2312"/>
          <w:b w:val="0"/>
          <w:bCs w:val="0"/>
          <w:spacing w:val="-4"/>
          <w:sz w:val="28"/>
          <w:szCs w:val="28"/>
        </w:rPr>
        <w:t>%；家具、用具、装具及动植物</w:t>
      </w:r>
      <w:r>
        <w:rPr>
          <w:rStyle w:val="19"/>
          <w:rFonts w:hint="eastAsia" w:ascii="仿宋_GB2312" w:hAnsi="宋体" w:eastAsia="仿宋_GB2312"/>
          <w:b w:val="0"/>
          <w:bCs w:val="0"/>
          <w:spacing w:val="-4"/>
          <w:sz w:val="28"/>
          <w:szCs w:val="28"/>
          <w:lang w:val="en-US" w:eastAsia="zh-CN"/>
        </w:rPr>
        <w:t>8.77万元，</w:t>
      </w:r>
      <w:r>
        <w:rPr>
          <w:rStyle w:val="19"/>
          <w:rFonts w:hint="eastAsia" w:ascii="仿宋_GB2312" w:hAnsi="宋体" w:eastAsia="仿宋_GB2312"/>
          <w:b w:val="0"/>
          <w:bCs w:val="0"/>
          <w:spacing w:val="-4"/>
          <w:sz w:val="28"/>
          <w:szCs w:val="28"/>
        </w:rPr>
        <w:t>占固定资产净值的</w:t>
      </w:r>
      <w:r>
        <w:rPr>
          <w:rStyle w:val="19"/>
          <w:rFonts w:hint="eastAsia" w:ascii="仿宋_GB2312" w:hAnsi="宋体" w:eastAsia="仿宋_GB2312"/>
          <w:b w:val="0"/>
          <w:bCs w:val="0"/>
          <w:spacing w:val="-4"/>
          <w:sz w:val="28"/>
          <w:szCs w:val="28"/>
          <w:lang w:val="en-US" w:eastAsia="zh-CN"/>
        </w:rPr>
        <w:t>0.72</w:t>
      </w:r>
      <w:r>
        <w:rPr>
          <w:rStyle w:val="19"/>
          <w:rFonts w:hint="eastAsia" w:ascii="仿宋_GB2312" w:hAnsi="宋体" w:eastAsia="仿宋_GB2312"/>
          <w:b w:val="0"/>
          <w:bCs w:val="0"/>
          <w:spacing w:val="-4"/>
          <w:sz w:val="28"/>
          <w:szCs w:val="28"/>
        </w:rPr>
        <w:t>%）。</w:t>
      </w:r>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本年度流动资产</w:t>
      </w:r>
      <w:r>
        <w:rPr>
          <w:rStyle w:val="19"/>
          <w:rFonts w:hint="eastAsia" w:ascii="仿宋_GB2312" w:hAnsi="宋体" w:eastAsia="仿宋_GB2312"/>
          <w:b w:val="0"/>
          <w:bCs w:val="0"/>
          <w:spacing w:val="-4"/>
          <w:sz w:val="28"/>
          <w:szCs w:val="28"/>
          <w:lang w:val="en-US" w:eastAsia="zh-CN"/>
        </w:rPr>
        <w:t>207.15</w:t>
      </w:r>
      <w:r>
        <w:rPr>
          <w:rStyle w:val="19"/>
          <w:rFonts w:hint="eastAsia" w:ascii="仿宋_GB2312" w:hAnsi="宋体" w:eastAsia="仿宋_GB2312"/>
          <w:b w:val="0"/>
          <w:bCs w:val="0"/>
          <w:spacing w:val="-4"/>
          <w:sz w:val="28"/>
          <w:szCs w:val="28"/>
        </w:rPr>
        <w:t>万元，比上年减少</w:t>
      </w:r>
      <w:r>
        <w:rPr>
          <w:rStyle w:val="19"/>
          <w:rFonts w:hint="eastAsia" w:ascii="仿宋_GB2312" w:hAnsi="宋体" w:eastAsia="仿宋_GB2312"/>
          <w:b w:val="0"/>
          <w:bCs w:val="0"/>
          <w:spacing w:val="-4"/>
          <w:sz w:val="28"/>
          <w:szCs w:val="28"/>
          <w:lang w:val="en-US" w:eastAsia="zh-CN"/>
        </w:rPr>
        <w:t>298.41</w:t>
      </w:r>
      <w:r>
        <w:rPr>
          <w:rStyle w:val="19"/>
          <w:rFonts w:hint="eastAsia" w:ascii="仿宋_GB2312" w:hAnsi="宋体" w:eastAsia="仿宋_GB2312"/>
          <w:b w:val="0"/>
          <w:bCs w:val="0"/>
          <w:spacing w:val="-4"/>
          <w:sz w:val="28"/>
          <w:szCs w:val="28"/>
        </w:rPr>
        <w:t>万元，原因是：</w:t>
      </w:r>
      <w:r>
        <w:rPr>
          <w:rStyle w:val="19"/>
          <w:rFonts w:hint="eastAsia" w:ascii="仿宋_GB2312" w:hAnsi="宋体" w:eastAsia="仿宋_GB2312"/>
          <w:b w:val="0"/>
          <w:bCs w:val="0"/>
          <w:spacing w:val="-4"/>
          <w:sz w:val="28"/>
          <w:szCs w:val="28"/>
          <w:lang w:val="en-US" w:eastAsia="zh-CN"/>
        </w:rPr>
        <w:t>库存二类疫苗减少</w:t>
      </w:r>
      <w:r>
        <w:rPr>
          <w:rStyle w:val="19"/>
          <w:rFonts w:hint="eastAsia" w:ascii="仿宋_GB2312" w:hAnsi="宋体" w:eastAsia="仿宋_GB2312"/>
          <w:b w:val="0"/>
          <w:bCs w:val="0"/>
          <w:spacing w:val="-4"/>
          <w:sz w:val="28"/>
          <w:szCs w:val="28"/>
        </w:rPr>
        <w:t>。</w:t>
      </w:r>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本年度固定资产</w:t>
      </w:r>
      <w:r>
        <w:rPr>
          <w:rStyle w:val="19"/>
          <w:rFonts w:hint="eastAsia" w:ascii="仿宋_GB2312" w:hAnsi="宋体" w:eastAsia="仿宋_GB2312"/>
          <w:b w:val="0"/>
          <w:bCs w:val="0"/>
          <w:spacing w:val="-4"/>
          <w:sz w:val="28"/>
          <w:szCs w:val="28"/>
          <w:lang w:val="en-US" w:eastAsia="zh-CN"/>
        </w:rPr>
        <w:t>1873.95</w:t>
      </w:r>
      <w:r>
        <w:rPr>
          <w:rStyle w:val="19"/>
          <w:rFonts w:hint="eastAsia" w:ascii="仿宋_GB2312" w:hAnsi="宋体" w:eastAsia="仿宋_GB2312"/>
          <w:b w:val="0"/>
          <w:bCs w:val="0"/>
          <w:spacing w:val="-4"/>
          <w:sz w:val="28"/>
          <w:szCs w:val="28"/>
        </w:rPr>
        <w:t>万元，比上年增加</w:t>
      </w:r>
      <w:r>
        <w:rPr>
          <w:rStyle w:val="19"/>
          <w:rFonts w:hint="eastAsia" w:ascii="仿宋_GB2312" w:hAnsi="宋体" w:eastAsia="仿宋_GB2312"/>
          <w:b w:val="0"/>
          <w:bCs w:val="0"/>
          <w:spacing w:val="-4"/>
          <w:sz w:val="28"/>
          <w:szCs w:val="28"/>
          <w:lang w:val="en-US" w:eastAsia="zh-CN"/>
        </w:rPr>
        <w:t>179.32</w:t>
      </w:r>
      <w:r>
        <w:rPr>
          <w:rStyle w:val="19"/>
          <w:rFonts w:hint="eastAsia" w:ascii="仿宋_GB2312" w:hAnsi="宋体" w:eastAsia="仿宋_GB2312"/>
          <w:b w:val="0"/>
          <w:bCs w:val="0"/>
          <w:spacing w:val="-4"/>
          <w:sz w:val="28"/>
          <w:szCs w:val="28"/>
        </w:rPr>
        <w:t>万元，原因是：</w:t>
      </w:r>
      <w:r>
        <w:rPr>
          <w:rStyle w:val="19"/>
          <w:rFonts w:hint="eastAsia" w:ascii="仿宋_GB2312" w:hAnsi="宋体" w:eastAsia="仿宋_GB2312"/>
          <w:b w:val="0"/>
          <w:bCs w:val="0"/>
          <w:spacing w:val="-4"/>
          <w:sz w:val="28"/>
          <w:szCs w:val="28"/>
          <w:lang w:val="en-US" w:eastAsia="zh-CN"/>
        </w:rPr>
        <w:t>疾控能力提升项目采购实验室设备和冷链运输、储存设备</w:t>
      </w:r>
      <w:r>
        <w:rPr>
          <w:rStyle w:val="19"/>
          <w:rFonts w:hint="eastAsia" w:ascii="仿宋_GB2312" w:hAnsi="宋体" w:eastAsia="仿宋_GB2312"/>
          <w:b w:val="0"/>
          <w:bCs w:val="0"/>
          <w:spacing w:val="-4"/>
          <w:sz w:val="28"/>
          <w:szCs w:val="28"/>
        </w:rPr>
        <w:t>。</w:t>
      </w:r>
    </w:p>
    <w:p>
      <w:pPr>
        <w:snapToGrid w:val="0"/>
        <w:spacing w:line="360" w:lineRule="auto"/>
        <w:ind w:firstLine="544" w:firstLineChars="200"/>
        <w:rPr>
          <w:rStyle w:val="19"/>
          <w:rFonts w:ascii="宋体" w:hAnsi="宋体" w:eastAsia="宋体"/>
          <w:bCs w:val="0"/>
          <w:color w:val="FF0000"/>
          <w:spacing w:val="-4"/>
          <w:sz w:val="28"/>
          <w:szCs w:val="28"/>
        </w:rPr>
      </w:pPr>
      <w:r>
        <w:rPr>
          <w:rStyle w:val="19"/>
          <w:rFonts w:hint="eastAsia" w:ascii="仿宋_GB2312" w:hAnsi="宋体" w:eastAsia="仿宋_GB2312"/>
          <w:b w:val="0"/>
          <w:bCs w:val="0"/>
          <w:spacing w:val="-4"/>
          <w:sz w:val="28"/>
          <w:szCs w:val="28"/>
        </w:rPr>
        <w:t>实际在用固定资产</w:t>
      </w:r>
      <w:r>
        <w:rPr>
          <w:rStyle w:val="19"/>
          <w:rFonts w:hint="eastAsia" w:ascii="仿宋_GB2312" w:hAnsi="宋体" w:eastAsia="仿宋_GB2312"/>
          <w:b w:val="0"/>
          <w:bCs w:val="0"/>
          <w:spacing w:val="-4"/>
          <w:sz w:val="28"/>
          <w:szCs w:val="28"/>
          <w:lang w:val="en-US" w:eastAsia="zh-CN"/>
        </w:rPr>
        <w:t>1873.95</w:t>
      </w:r>
      <w:r>
        <w:rPr>
          <w:rStyle w:val="19"/>
          <w:rFonts w:hint="eastAsia" w:ascii="仿宋_GB2312" w:hAnsi="宋体" w:eastAsia="仿宋_GB2312"/>
          <w:b w:val="0"/>
          <w:bCs w:val="0"/>
          <w:spacing w:val="-4"/>
          <w:sz w:val="28"/>
          <w:szCs w:val="28"/>
        </w:rPr>
        <w:t>万元，固定资产利用率</w:t>
      </w:r>
      <w:r>
        <w:rPr>
          <w:rStyle w:val="19"/>
          <w:rFonts w:hint="eastAsia" w:ascii="仿宋_GB2312" w:hAnsi="宋体" w:eastAsia="仿宋_GB2312"/>
          <w:b w:val="0"/>
          <w:bCs w:val="0"/>
          <w:spacing w:val="-4"/>
          <w:sz w:val="28"/>
          <w:szCs w:val="28"/>
          <w:lang w:val="en-US" w:eastAsia="zh-CN"/>
        </w:rPr>
        <w:t>100</w:t>
      </w:r>
      <w:r>
        <w:rPr>
          <w:rStyle w:val="19"/>
          <w:rFonts w:hint="eastAsia" w:ascii="仿宋_GB2312" w:hAnsi="宋体" w:eastAsia="仿宋_GB2312"/>
          <w:b w:val="0"/>
          <w:bCs w:val="0"/>
          <w:spacing w:val="-4"/>
          <w:sz w:val="28"/>
          <w:szCs w:val="28"/>
        </w:rPr>
        <w:t>%。</w:t>
      </w:r>
    </w:p>
    <w:p>
      <w:pPr>
        <w:pStyle w:val="5"/>
        <w:spacing w:line="360" w:lineRule="auto"/>
        <w:rPr>
          <w:rStyle w:val="19"/>
          <w:rFonts w:ascii="仿宋" w:hAnsi="仿宋" w:eastAsia="仿宋"/>
          <w:b/>
          <w:bCs/>
        </w:rPr>
      </w:pPr>
      <w:bookmarkStart w:id="26" w:name="_Toc70450312"/>
      <w:r>
        <w:rPr>
          <w:rStyle w:val="19"/>
          <w:rFonts w:hint="eastAsia" w:ascii="仿宋" w:hAnsi="仿宋" w:eastAsia="仿宋"/>
          <w:b/>
          <w:bCs/>
        </w:rPr>
        <w:t>（二）资产管理情况</w:t>
      </w:r>
      <w:bookmarkEnd w:id="26"/>
    </w:p>
    <w:p>
      <w:pPr>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9"/>
          <w:rFonts w:ascii="仿宋_GB2312" w:hAnsi="宋体" w:eastAsia="仿宋_GB2312"/>
          <w:b w:val="0"/>
          <w:spacing w:val="-4"/>
          <w:sz w:val="28"/>
          <w:szCs w:val="28"/>
        </w:rPr>
      </w:pPr>
      <w:r>
        <w:rPr>
          <w:rStyle w:val="19"/>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4"/>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5"/>
        <w:spacing w:line="360" w:lineRule="auto"/>
        <w:ind w:firstLine="643" w:firstLineChars="200"/>
        <w:rPr>
          <w:rStyle w:val="19"/>
          <w:rFonts w:ascii="仿宋" w:hAnsi="仿宋" w:eastAsia="仿宋"/>
          <w:b/>
          <w:bCs/>
        </w:rPr>
      </w:pPr>
      <w:bookmarkStart w:id="28" w:name="_Toc70450314"/>
      <w:r>
        <w:rPr>
          <w:rStyle w:val="19"/>
          <w:rFonts w:hint="eastAsia" w:ascii="仿宋" w:hAnsi="仿宋" w:eastAsia="仿宋"/>
          <w:b/>
          <w:bCs/>
        </w:rPr>
        <w:t>（一）经济效益评价</w:t>
      </w:r>
      <w:bookmarkEnd w:id="28"/>
    </w:p>
    <w:p>
      <w:pPr>
        <w:spacing w:line="360" w:lineRule="auto"/>
        <w:ind w:firstLine="544" w:firstLineChars="200"/>
        <w:rPr>
          <w:rStyle w:val="19"/>
          <w:rFonts w:ascii="仿宋_GB2312" w:hAnsi="宋体" w:eastAsia="仿宋_GB2312"/>
          <w:b w:val="0"/>
          <w:bCs w:val="0"/>
          <w:spacing w:val="-4"/>
          <w:sz w:val="28"/>
          <w:szCs w:val="28"/>
          <w:highlight w:val="none"/>
        </w:rPr>
      </w:pPr>
      <w:r>
        <w:rPr>
          <w:rStyle w:val="19"/>
          <w:rFonts w:hint="eastAsia" w:ascii="仿宋_GB2312" w:hAnsi="宋体" w:eastAsia="仿宋_GB2312"/>
          <w:b w:val="0"/>
          <w:bCs w:val="0"/>
          <w:spacing w:val="-4"/>
          <w:sz w:val="28"/>
          <w:szCs w:val="28"/>
          <w:highlight w:val="none"/>
        </w:rPr>
        <w:t>202</w:t>
      </w:r>
      <w:r>
        <w:rPr>
          <w:rStyle w:val="19"/>
          <w:rFonts w:hint="eastAsia" w:ascii="仿宋_GB2312" w:hAnsi="宋体" w:eastAsia="仿宋_GB2312"/>
          <w:b w:val="0"/>
          <w:bCs w:val="0"/>
          <w:spacing w:val="-4"/>
          <w:sz w:val="28"/>
          <w:szCs w:val="28"/>
          <w:highlight w:val="none"/>
          <w:lang w:val="en-US" w:eastAsia="zh-CN"/>
        </w:rPr>
        <w:t>1</w:t>
      </w:r>
      <w:r>
        <w:rPr>
          <w:rStyle w:val="19"/>
          <w:rFonts w:hint="eastAsia" w:ascii="仿宋_GB2312" w:hAnsi="宋体" w:eastAsia="仿宋_GB2312"/>
          <w:b w:val="0"/>
          <w:bCs w:val="0"/>
          <w:spacing w:val="-4"/>
          <w:sz w:val="28"/>
          <w:szCs w:val="28"/>
          <w:highlight w:val="none"/>
        </w:rPr>
        <w:t>年度我单位年初预算安排</w:t>
      </w:r>
      <w:r>
        <w:rPr>
          <w:rStyle w:val="19"/>
          <w:rFonts w:hint="eastAsia" w:ascii="仿宋_GB2312" w:hAnsi="宋体" w:eastAsia="仿宋_GB2312"/>
          <w:b w:val="0"/>
          <w:bCs w:val="0"/>
          <w:spacing w:val="-4"/>
          <w:sz w:val="28"/>
          <w:szCs w:val="28"/>
          <w:highlight w:val="none"/>
          <w:lang w:val="en-US" w:eastAsia="zh-CN"/>
        </w:rPr>
        <w:t>360.91</w:t>
      </w:r>
      <w:r>
        <w:rPr>
          <w:rStyle w:val="19"/>
          <w:rFonts w:hint="eastAsia" w:ascii="仿宋_GB2312" w:hAnsi="宋体" w:eastAsia="仿宋_GB2312"/>
          <w:b w:val="0"/>
          <w:bCs w:val="0"/>
          <w:spacing w:val="-4"/>
          <w:sz w:val="28"/>
          <w:szCs w:val="28"/>
          <w:highlight w:val="none"/>
        </w:rPr>
        <w:t>万元，年中调整</w:t>
      </w:r>
      <w:r>
        <w:rPr>
          <w:rStyle w:val="19"/>
          <w:rFonts w:hint="eastAsia" w:ascii="仿宋_GB2312" w:hAnsi="宋体" w:eastAsia="仿宋_GB2312"/>
          <w:b w:val="0"/>
          <w:bCs w:val="0"/>
          <w:spacing w:val="-4"/>
          <w:sz w:val="28"/>
          <w:szCs w:val="28"/>
          <w:highlight w:val="none"/>
          <w:lang w:val="en-US" w:eastAsia="zh-CN"/>
        </w:rPr>
        <w:t>557.27</w:t>
      </w:r>
      <w:r>
        <w:rPr>
          <w:rStyle w:val="19"/>
          <w:rFonts w:hint="eastAsia" w:ascii="仿宋_GB2312" w:hAnsi="宋体" w:eastAsia="仿宋_GB2312"/>
          <w:b w:val="0"/>
          <w:bCs w:val="0"/>
          <w:spacing w:val="-4"/>
          <w:sz w:val="28"/>
          <w:szCs w:val="28"/>
          <w:highlight w:val="none"/>
        </w:rPr>
        <w:t>万元，截止12月底支出</w:t>
      </w:r>
      <w:r>
        <w:rPr>
          <w:rStyle w:val="19"/>
          <w:rFonts w:hint="eastAsia" w:ascii="仿宋_GB2312" w:hAnsi="宋体" w:eastAsia="仿宋_GB2312"/>
          <w:b w:val="0"/>
          <w:bCs w:val="0"/>
          <w:spacing w:val="-4"/>
          <w:sz w:val="28"/>
          <w:szCs w:val="28"/>
          <w:highlight w:val="none"/>
          <w:lang w:val="en-US" w:eastAsia="zh-CN"/>
        </w:rPr>
        <w:t>918.18</w:t>
      </w:r>
      <w:r>
        <w:rPr>
          <w:rStyle w:val="19"/>
          <w:rFonts w:hint="eastAsia" w:ascii="仿宋_GB2312" w:hAnsi="宋体" w:eastAsia="仿宋_GB2312"/>
          <w:b w:val="0"/>
          <w:bCs w:val="0"/>
          <w:spacing w:val="-4"/>
          <w:sz w:val="28"/>
          <w:szCs w:val="28"/>
          <w:highlight w:val="none"/>
        </w:rPr>
        <w:t>万元，执行率</w:t>
      </w:r>
      <w:r>
        <w:rPr>
          <w:rStyle w:val="19"/>
          <w:rFonts w:hint="eastAsia" w:ascii="仿宋_GB2312" w:hAnsi="宋体" w:eastAsia="仿宋_GB2312"/>
          <w:b w:val="0"/>
          <w:bCs w:val="0"/>
          <w:spacing w:val="-4"/>
          <w:sz w:val="28"/>
          <w:szCs w:val="28"/>
          <w:highlight w:val="none"/>
          <w:lang w:val="en-US" w:eastAsia="zh-CN"/>
        </w:rPr>
        <w:t>100</w:t>
      </w:r>
      <w:r>
        <w:rPr>
          <w:rStyle w:val="19"/>
          <w:rFonts w:hint="eastAsia" w:ascii="仿宋_GB2312" w:hAnsi="宋体" w:eastAsia="仿宋_GB2312"/>
          <w:b w:val="0"/>
          <w:bCs w:val="0"/>
          <w:spacing w:val="-4"/>
          <w:sz w:val="28"/>
          <w:szCs w:val="28"/>
          <w:highlight w:val="none"/>
        </w:rPr>
        <w:t>%。</w:t>
      </w:r>
    </w:p>
    <w:p>
      <w:pPr>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highlight w:val="none"/>
        </w:rPr>
        <w:t>1</w:t>
      </w:r>
      <w:r>
        <w:rPr>
          <w:rStyle w:val="19"/>
          <w:rFonts w:hint="eastAsia" w:ascii="仿宋_GB2312" w:hAnsi="宋体" w:eastAsia="仿宋_GB2312"/>
          <w:b w:val="0"/>
          <w:bCs w:val="0"/>
          <w:spacing w:val="-4"/>
          <w:sz w:val="28"/>
          <w:szCs w:val="28"/>
          <w:highlight w:val="none"/>
        </w:rPr>
        <w:t>、预算资金执行过程中均按照年初预算分配情况均做</w:t>
      </w:r>
      <w:r>
        <w:rPr>
          <w:rStyle w:val="19"/>
          <w:rFonts w:hint="eastAsia" w:ascii="仿宋_GB2312" w:hAnsi="宋体" w:eastAsia="仿宋_GB2312"/>
          <w:b w:val="0"/>
          <w:bCs w:val="0"/>
          <w:spacing w:val="-4"/>
          <w:sz w:val="28"/>
          <w:szCs w:val="28"/>
        </w:rPr>
        <w:t>到专款专用，未出现资金侵、挪占情况。</w:t>
      </w:r>
    </w:p>
    <w:p>
      <w:pPr>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2</w:t>
      </w:r>
      <w:r>
        <w:rPr>
          <w:rStyle w:val="19"/>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5"/>
        <w:spacing w:line="360" w:lineRule="auto"/>
        <w:ind w:firstLine="643" w:firstLineChars="200"/>
        <w:rPr>
          <w:rStyle w:val="19"/>
          <w:rFonts w:ascii="仿宋" w:hAnsi="仿宋" w:eastAsia="仿宋"/>
          <w:b/>
          <w:bCs/>
        </w:rPr>
      </w:pPr>
      <w:bookmarkStart w:id="29" w:name="_Toc70450315"/>
      <w:r>
        <w:rPr>
          <w:rStyle w:val="19"/>
          <w:rFonts w:hint="eastAsia" w:ascii="仿宋" w:hAnsi="仿宋" w:eastAsia="仿宋"/>
          <w:b/>
          <w:bCs/>
        </w:rPr>
        <w:t>（二）效率性评价</w:t>
      </w:r>
      <w:bookmarkEnd w:id="29"/>
    </w:p>
    <w:p>
      <w:pPr>
        <w:widowControl/>
        <w:shd w:val="clear" w:color="auto" w:fill="FFFFFF"/>
        <w:spacing w:line="560" w:lineRule="atLeast"/>
        <w:ind w:firstLine="480"/>
      </w:pPr>
      <w:r>
        <w:rPr>
          <w:rFonts w:hint="eastAsia" w:ascii="仿宋_GB2312" w:hAnsi="仿宋_GB2312" w:eastAsia="仿宋_GB2312" w:cs="仿宋_GB2312"/>
          <w:sz w:val="28"/>
          <w:szCs w:val="28"/>
        </w:rPr>
        <w:t>我</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p>
    <w:p>
      <w:pPr>
        <w:pStyle w:val="5"/>
        <w:spacing w:line="360" w:lineRule="auto"/>
        <w:ind w:firstLine="643" w:firstLineChars="200"/>
        <w:rPr>
          <w:rStyle w:val="19"/>
          <w:rFonts w:ascii="仿宋" w:hAnsi="仿宋" w:eastAsia="仿宋"/>
          <w:b/>
          <w:bCs/>
        </w:rPr>
      </w:pPr>
      <w:bookmarkStart w:id="30" w:name="_Toc70450316"/>
      <w:r>
        <w:rPr>
          <w:rStyle w:val="19"/>
          <w:rFonts w:hint="eastAsia" w:ascii="仿宋" w:hAnsi="仿宋" w:eastAsia="仿宋"/>
          <w:b/>
          <w:bCs/>
        </w:rPr>
        <w:t>（三）有效性评价</w:t>
      </w:r>
      <w:bookmarkEnd w:id="30"/>
    </w:p>
    <w:p>
      <w:pPr>
        <w:pStyle w:val="15"/>
        <w:widowControl/>
        <w:spacing w:before="40" w:beforeAutospacing="0" w:after="0" w:afterAutospacing="0" w:line="520" w:lineRule="atLeast"/>
        <w:ind w:firstLine="52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w:t>
      </w: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napToGrid w:val="0"/>
        <w:spacing w:line="360" w:lineRule="auto"/>
        <w:ind w:firstLine="544" w:firstLineChars="200"/>
        <w:rPr>
          <w:rStyle w:val="19"/>
          <w:rFonts w:hint="eastAsia" w:ascii="仿宋_GB2312" w:eastAsia="仿宋_GB2312" w:hAnsiTheme="minorEastAsia"/>
          <w:b w:val="0"/>
          <w:spacing w:val="-4"/>
          <w:sz w:val="28"/>
          <w:szCs w:val="28"/>
          <w:lang w:eastAsia="zh-CN"/>
        </w:rPr>
      </w:pPr>
      <w:r>
        <w:rPr>
          <w:rStyle w:val="19"/>
          <w:rFonts w:hint="eastAsia" w:ascii="仿宋_GB2312" w:eastAsia="仿宋_GB2312" w:hAnsiTheme="minorEastAsia"/>
          <w:b w:val="0"/>
          <w:spacing w:val="-4"/>
          <w:sz w:val="28"/>
          <w:szCs w:val="28"/>
          <w:lang w:val="en-US" w:eastAsia="zh-CN"/>
        </w:rPr>
        <w:t>特克斯县疾病预防控制中心</w:t>
      </w:r>
      <w:r>
        <w:rPr>
          <w:rStyle w:val="19"/>
          <w:rFonts w:hint="eastAsia" w:ascii="仿宋_GB2312" w:eastAsia="仿宋_GB2312" w:hAnsiTheme="minorEastAsia"/>
          <w:b w:val="0"/>
          <w:spacing w:val="-4"/>
          <w:sz w:val="28"/>
          <w:szCs w:val="28"/>
        </w:rPr>
        <w:t>部门单位整体绩效目标共设置一级指标</w:t>
      </w:r>
      <w:r>
        <w:rPr>
          <w:rStyle w:val="19"/>
          <w:rFonts w:hint="eastAsia" w:ascii="仿宋_GB2312" w:eastAsia="仿宋_GB2312" w:hAnsiTheme="minorEastAsia"/>
          <w:b w:val="0"/>
          <w:spacing w:val="-4"/>
          <w:sz w:val="28"/>
          <w:szCs w:val="28"/>
          <w:lang w:val="en-US" w:eastAsia="zh-CN"/>
        </w:rPr>
        <w:t>3</w:t>
      </w:r>
      <w:r>
        <w:rPr>
          <w:rStyle w:val="19"/>
          <w:rFonts w:hint="eastAsia" w:ascii="仿宋_GB2312" w:eastAsia="仿宋_GB2312" w:hAnsiTheme="minorEastAsia"/>
          <w:b w:val="0"/>
          <w:spacing w:val="-4"/>
          <w:sz w:val="28"/>
          <w:szCs w:val="28"/>
        </w:rPr>
        <w:t>个，二级指标</w:t>
      </w:r>
      <w:r>
        <w:rPr>
          <w:rStyle w:val="19"/>
          <w:rFonts w:hint="eastAsia" w:ascii="仿宋_GB2312" w:eastAsia="仿宋_GB2312" w:hAnsiTheme="minorEastAsia"/>
          <w:b w:val="0"/>
          <w:spacing w:val="-4"/>
          <w:sz w:val="28"/>
          <w:szCs w:val="28"/>
          <w:lang w:val="en-US" w:eastAsia="zh-CN"/>
        </w:rPr>
        <w:t>8</w:t>
      </w:r>
      <w:r>
        <w:rPr>
          <w:rStyle w:val="19"/>
          <w:rFonts w:hint="eastAsia" w:ascii="仿宋_GB2312" w:eastAsia="仿宋_GB2312" w:hAnsiTheme="minorEastAsia"/>
          <w:b w:val="0"/>
          <w:spacing w:val="-4"/>
          <w:sz w:val="28"/>
          <w:szCs w:val="28"/>
        </w:rPr>
        <w:t>个，三级指标</w:t>
      </w:r>
      <w:r>
        <w:rPr>
          <w:rStyle w:val="19"/>
          <w:rFonts w:hint="eastAsia" w:ascii="仿宋_GB2312" w:eastAsia="仿宋_GB2312" w:hAnsiTheme="minorEastAsia"/>
          <w:b w:val="0"/>
          <w:spacing w:val="-4"/>
          <w:sz w:val="28"/>
          <w:szCs w:val="28"/>
          <w:lang w:val="en-US" w:eastAsia="zh-CN"/>
        </w:rPr>
        <w:t>11</w:t>
      </w:r>
      <w:r>
        <w:rPr>
          <w:rStyle w:val="19"/>
          <w:rFonts w:hint="eastAsia" w:ascii="仿宋_GB2312" w:eastAsia="仿宋_GB2312" w:hAnsiTheme="minorEastAsia"/>
          <w:b w:val="0"/>
          <w:spacing w:val="-4"/>
          <w:sz w:val="28"/>
          <w:szCs w:val="28"/>
        </w:rPr>
        <w:t>个，详细说明如下</w:t>
      </w:r>
      <w:r>
        <w:rPr>
          <w:rStyle w:val="19"/>
          <w:rFonts w:hint="eastAsia" w:ascii="仿宋_GB2312" w:eastAsia="仿宋_GB2312" w:hAnsiTheme="minorEastAsia"/>
          <w:b w:val="0"/>
          <w:spacing w:val="-4"/>
          <w:sz w:val="28"/>
          <w:szCs w:val="28"/>
          <w:lang w:eastAsia="zh-CN"/>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1</w:t>
      </w:r>
      <w:r>
        <w:rPr>
          <w:rStyle w:val="19"/>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w:t>
      </w:r>
      <w:r>
        <w:rPr>
          <w:rStyle w:val="19"/>
          <w:rFonts w:hint="eastAsia" w:ascii="仿宋_GB2312" w:hAnsi="宋体" w:eastAsia="仿宋_GB2312"/>
          <w:b w:val="0"/>
          <w:spacing w:val="-4"/>
          <w:sz w:val="28"/>
          <w:szCs w:val="28"/>
          <w:highlight w:val="none"/>
          <w:lang w:eastAsia="zh-CN"/>
        </w:rPr>
        <w:t>：</w:t>
      </w:r>
      <w:r>
        <w:rPr>
          <w:rStyle w:val="19"/>
          <w:rFonts w:hint="eastAsia" w:ascii="仿宋_GB2312" w:hAnsi="宋体" w:eastAsia="仿宋_GB2312"/>
          <w:b w:val="0"/>
          <w:spacing w:val="-4"/>
          <w:sz w:val="28"/>
          <w:szCs w:val="28"/>
          <w:highlight w:val="none"/>
        </w:rPr>
        <w:t>保障在职人员人数，指标值：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55人，实际完成值：55人，指标完成率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：工资及补助发放次数，指标值：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13次，实际完成值：13次，指标完成率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bookmarkStart w:id="37" w:name="_GoBack"/>
      <w:bookmarkEnd w:id="37"/>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指标1：全系统人员工工资及社保正常发放率，指标值：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100%，实际完成值：100%，指标完成率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：慰问退休干部覆盖率 ，指标值：</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，实际完成值：</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3</w:t>
      </w:r>
      <w:r>
        <w:rPr>
          <w:rStyle w:val="19"/>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指标1：工资补助发放及时性，指标值：</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，实际完成值：</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 xml:space="preserve"> ，指标完成率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4</w:t>
      </w:r>
      <w:r>
        <w:rPr>
          <w:rStyle w:val="19"/>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指标1：工资福利及补助人均支出标准，指标值：6.652万元/人，实际完成值：6.652万元/人，指标完成率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5</w:t>
      </w:r>
      <w:r>
        <w:rPr>
          <w:rStyle w:val="19"/>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指标1：提高工作效率和质量，指标值：有效提高，实际完成值：有效提高，指标完成率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lang w:val="en-US" w:eastAsia="zh-CN"/>
        </w:rPr>
        <w:t>6</w:t>
      </w:r>
      <w:r>
        <w:rPr>
          <w:rStyle w:val="19"/>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指标1：合理处置医疗废物垃圾，指标值：处置合理，实际完成值：处置合理，指标完成率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lang w:val="en-US" w:eastAsia="zh-CN"/>
        </w:rPr>
        <w:t>7</w:t>
      </w:r>
      <w:r>
        <w:rPr>
          <w:rStyle w:val="19"/>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指标1：合理处置医疗废物垃圾，指标值：有效保障 ，实际完成值：有效保障，指标完成率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lang w:val="en-US" w:eastAsia="zh-CN"/>
        </w:rPr>
        <w:t>8</w:t>
      </w:r>
      <w:r>
        <w:rPr>
          <w:rStyle w:val="19"/>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指标1：干部职工满意度，指标值：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100%，实际完成值：100% ，指标完成率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snapToGrid w:val="0"/>
        <w:spacing w:line="360" w:lineRule="auto"/>
        <w:ind w:firstLine="544" w:firstLineChars="200"/>
        <w:rPr>
          <w:rStyle w:val="19"/>
          <w:rFonts w:hint="eastAsia" w:ascii="仿宋_GB2312" w:hAnsi="宋体" w:eastAsia="仿宋_GB2312"/>
          <w:b w:val="0"/>
          <w:bCs w:val="0"/>
          <w:color w:val="FF0000"/>
          <w:spacing w:val="-4"/>
          <w:sz w:val="28"/>
          <w:szCs w:val="28"/>
          <w:highlight w:val="none"/>
          <w:lang w:eastAsia="zh-CN"/>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：患者满意度，指标值：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100%，实际完成值：100%，指标完成率100%</w:t>
      </w:r>
      <w:r>
        <w:rPr>
          <w:rStyle w:val="19"/>
          <w:rFonts w:hint="eastAsia" w:ascii="仿宋_GB2312" w:hAnsi="宋体" w:eastAsia="仿宋_GB2312"/>
          <w:b w:val="0"/>
          <w:spacing w:val="-4"/>
          <w:sz w:val="28"/>
          <w:szCs w:val="28"/>
          <w:highlight w:val="none"/>
          <w:lang w:eastAsia="zh-CN"/>
        </w:rPr>
        <w:t>。</w:t>
      </w:r>
    </w:p>
    <w:p>
      <w:pPr>
        <w:pStyle w:val="4"/>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(一)预算执行存在偏差</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项目细化管理工作不足。重大公共卫生服务项目经费包含小类项目较多，主要是艾滋病、结核病、地方病项目等，在执行过程中，病人管理费、营养</w:t>
      </w:r>
      <w:r>
        <w:rPr>
          <w:rFonts w:hint="eastAsia" w:ascii="仿宋_GB2312" w:hAnsi="仿宋_GB2312" w:eastAsia="仿宋_GB2312" w:cs="仿宋_GB2312"/>
          <w:sz w:val="28"/>
          <w:szCs w:val="28"/>
          <w:lang w:val="en-US" w:eastAsia="zh-CN"/>
        </w:rPr>
        <w:t>早餐</w:t>
      </w:r>
      <w:r>
        <w:rPr>
          <w:rFonts w:hint="eastAsia" w:ascii="仿宋_GB2312" w:hAnsi="仿宋_GB2312" w:eastAsia="仿宋_GB2312" w:cs="仿宋_GB2312"/>
          <w:sz w:val="28"/>
          <w:szCs w:val="28"/>
        </w:rPr>
        <w:t>的使用范围并不能把握到位，造成项目遇到各种不确定因素，财政资金无法发挥最大使用效益。</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（三）预算绩效管理水平仍有欠缺。在202</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（四）固定资产管理水平有待提高</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固定资产台账未及时与账面资产金额对账且末与实物进行清点及及时清理处置报废资产导致资产台账与账面资产金额存在差异,固定资产管理继续加强中。</w:t>
      </w:r>
    </w:p>
    <w:p>
      <w:pPr>
        <w:pStyle w:val="4"/>
        <w:spacing w:line="360" w:lineRule="auto"/>
        <w:rPr>
          <w:lang w:bidi="ar"/>
        </w:rPr>
      </w:pPr>
      <w:bookmarkStart w:id="32" w:name="_Toc70450318"/>
      <w:r>
        <w:rPr>
          <w:rFonts w:hint="eastAsia" w:ascii="仿宋" w:hAnsi="仿宋" w:eastAsia="仿宋"/>
          <w:sz w:val="36"/>
          <w:szCs w:val="36"/>
          <w:lang w:bidi="ar"/>
        </w:rPr>
        <w:t>七、改进措施和建议</w:t>
      </w:r>
      <w:bookmarkEnd w:id="32"/>
    </w:p>
    <w:p>
      <w:pPr>
        <w:pStyle w:val="5"/>
        <w:spacing w:line="360" w:lineRule="auto"/>
        <w:rPr>
          <w:rStyle w:val="19"/>
          <w:rFonts w:ascii="仿宋" w:hAnsi="仿宋" w:eastAsia="仿宋"/>
          <w:b/>
          <w:bCs/>
        </w:rPr>
      </w:pPr>
      <w:bookmarkStart w:id="33" w:name="_Toc70450319"/>
      <w:r>
        <w:rPr>
          <w:rStyle w:val="19"/>
          <w:rFonts w:hint="eastAsia" w:ascii="仿宋" w:hAnsi="仿宋" w:eastAsia="仿宋"/>
          <w:b/>
          <w:bCs/>
        </w:rPr>
        <w:t>（一）改进措施</w:t>
      </w:r>
      <w:bookmarkEnd w:id="33"/>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(二)完善管理制度,进-步加强资产管理。严格按照《固定资产管理办法》的规定，加强固定资产管理,及时登记、更新台账，加强资产卡片管理,对各类实物资产进行全面盘点,确保账账、账实相符。</w:t>
      </w:r>
    </w:p>
    <w:p>
      <w:pPr>
        <w:pStyle w:val="5"/>
        <w:numPr>
          <w:ilvl w:val="0"/>
          <w:numId w:val="5"/>
        </w:numPr>
        <w:spacing w:line="360" w:lineRule="auto"/>
        <w:ind w:left="0" w:leftChars="0" w:firstLine="626" w:firstLineChars="195"/>
        <w:rPr>
          <w:rStyle w:val="19"/>
          <w:rFonts w:hint="eastAsia" w:ascii="仿宋" w:hAnsi="仿宋" w:eastAsia="仿宋"/>
          <w:b/>
          <w:bCs/>
        </w:rPr>
      </w:pPr>
      <w:bookmarkStart w:id="34" w:name="_Toc70450320"/>
      <w:r>
        <w:rPr>
          <w:rStyle w:val="19"/>
          <w:rFonts w:hint="eastAsia" w:ascii="仿宋" w:hAnsi="仿宋" w:eastAsia="仿宋"/>
          <w:b/>
          <w:bCs/>
        </w:rPr>
        <w:t>建议</w:t>
      </w:r>
      <w:bookmarkEnd w:id="34"/>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）加强学习。进一步明确如何参照考核体系，科学合理设定绩效目标，充分发挥预算绩效管理工作效用。</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）财务上，会计核算要更加详细，为本单位各项工作的开展、总结、评估提供有效数据资料支撑,为各项业务工作更好的开展提供帮助。</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）从源头上强化对专项资金预算管理。实行专项资金预算管理，结合单位实际, 按轻重缓急统筹安排编制预算,提高预算编制科学性和合理性,优化资金结构。</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）按时间进度分解资金使用计划。专项资金的使用，要事前做计划，事中进行控制，事后总结提高。合理安排资金使用,充分体现资金投向的目标和效益。</w:t>
      </w:r>
    </w:p>
    <w:p>
      <w:pPr>
        <w:pStyle w:val="15"/>
        <w:widowControl/>
        <w:spacing w:before="40" w:beforeAutospacing="0" w:after="0" w:afterAutospacing="0" w:line="520" w:lineRule="atLeas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4"/>
        <w:spacing w:line="360" w:lineRule="auto"/>
        <w:rPr>
          <w:rStyle w:val="19"/>
          <w:rFonts w:ascii="仿宋" w:hAnsi="仿宋" w:eastAsia="仿宋"/>
          <w:b/>
          <w:bCs/>
          <w:sz w:val="36"/>
          <w:szCs w:val="36"/>
        </w:rPr>
      </w:pPr>
      <w:bookmarkStart w:id="35" w:name="_Toc70450321"/>
      <w:r>
        <w:rPr>
          <w:rStyle w:val="19"/>
          <w:rFonts w:hint="eastAsia" w:ascii="仿宋" w:hAnsi="仿宋" w:eastAsia="仿宋"/>
          <w:b/>
          <w:bCs/>
          <w:sz w:val="36"/>
          <w:szCs w:val="36"/>
        </w:rPr>
        <w:t>八、附表</w:t>
      </w:r>
      <w:r>
        <w:rPr>
          <w:rStyle w:val="19"/>
          <w:rFonts w:hint="eastAsia" w:ascii="仿宋" w:hAnsi="仿宋" w:eastAsia="仿宋"/>
          <w:b w:val="0"/>
          <w:bCs w:val="0"/>
          <w:spacing w:val="-4"/>
          <w:sz w:val="36"/>
          <w:szCs w:val="36"/>
        </w:rPr>
        <w:t>：</w:t>
      </w:r>
      <w:bookmarkStart w:id="36" w:name="_Hlk70450148"/>
      <w:r>
        <w:rPr>
          <w:rStyle w:val="19"/>
          <w:rFonts w:hint="eastAsia" w:ascii="仿宋" w:hAnsi="仿宋" w:eastAsia="仿宋"/>
          <w:b/>
          <w:bCs/>
          <w:sz w:val="36"/>
          <w:szCs w:val="36"/>
        </w:rPr>
        <w:t>《部门整体支出绩效目标自评表》</w:t>
      </w:r>
      <w:bookmarkEnd w:id="35"/>
      <w:bookmarkEnd w:id="36"/>
    </w:p>
    <w:p/>
    <w:tbl>
      <w:tblPr>
        <w:tblStyle w:val="17"/>
        <w:tblpPr w:leftFromText="180" w:rightFromText="180" w:vertAnchor="text" w:horzAnchor="page" w:tblpX="1124" w:tblpY="581"/>
        <w:tblOverlap w:val="never"/>
        <w:tblW w:w="99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1"/>
        <w:gridCol w:w="1230"/>
        <w:gridCol w:w="1470"/>
        <w:gridCol w:w="1124"/>
        <w:gridCol w:w="1481"/>
        <w:gridCol w:w="899"/>
        <w:gridCol w:w="1162"/>
        <w:gridCol w:w="313"/>
        <w:gridCol w:w="489"/>
        <w:gridCol w:w="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 w:hRule="atLeast"/>
        </w:trPr>
        <w:tc>
          <w:tcPr>
            <w:tcW w:w="9999"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9999"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部门（单位）名称</w:t>
            </w:r>
          </w:p>
        </w:tc>
        <w:tc>
          <w:tcPr>
            <w:tcW w:w="788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特克斯县疾病预防控制中心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年度主要任务</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任务名称</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主要内容</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预算金额（万元）</w:t>
            </w:r>
          </w:p>
        </w:tc>
        <w:tc>
          <w:tcPr>
            <w:tcW w:w="291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1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人员保障</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用于保障部门单位人员发放工资福利支出及对家人和个人的补助</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1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金额合计</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1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360.91</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年度总体目标</w:t>
            </w:r>
          </w:p>
        </w:tc>
        <w:tc>
          <w:tcPr>
            <w:tcW w:w="38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529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44" w:hRule="atLeast"/>
        </w:trPr>
        <w:tc>
          <w:tcPr>
            <w:tcW w:w="88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38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认真贯彻落实“预防为主”卫生工作方针，进一步加大重点传染病、慢性病防控力度。从事疾控中心干部工作行业人员的工资、养老、医疗、住房待遇保证。积极做好疾控民生工程项目，稳步推进免疫规划工作开展，强化地方病防治能力建设，紧紧围绕疾病预防控制及卫生应急工作目标任务做好各项工作。                                                                                                </w:t>
            </w:r>
          </w:p>
        </w:tc>
        <w:tc>
          <w:tcPr>
            <w:tcW w:w="529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1、保证人员经费正常发放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2、保证单位经费正常运转，工作顺利开展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3、有效降低“四害”密度、有效防止水源性疾病的爆发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4、减少艾滋病新发感染，降低艾滋病死亡率，积极做好应急物资的储备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5、防治结核病疫情蔓延，保护健康人群，降低结核病患者死亡率。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6、为做好严重精神障碍管理治疗项目工作，完善全区精神障碍患者防治网络，逐步提高严重精神障碍患者检出率、管理率和治疗率，减少患者肇事肇祸案（事）件的发生。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7、积极落实各项艾滋病防控措施。提高感染者/病人生活质量，探索预防艾滋病、梅毒和乙肝母婴传播的管理和服务模式以及社会组织及多部门协同作用，提高血液检测技术水平及中医防治艾滋病。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8、加大病情调查和病例搜索力度，及时完成新发病人建档登记、救治和病情随访工作。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预期指标值（包含数字及文字描述）</w:t>
            </w:r>
          </w:p>
        </w:tc>
        <w:tc>
          <w:tcPr>
            <w:tcW w:w="14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470"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保障在职人员人数</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=55人</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工资及补助发放次数</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=13次</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全系统人员工工资及社保正常发放率</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慰问退休干部覆盖率</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工资补助发放及时性</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工资福利及补助人均支出标准</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6.652万元/人</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6.652万元/人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提高工作效率和质量</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生态效益指标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合理处置医疗废物垃圾</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处置合理</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处置合理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可持续影响指标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合理处置医疗废物垃圾</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干部职工满意度</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患者满意度</w:t>
            </w:r>
          </w:p>
        </w:tc>
        <w:tc>
          <w:tcPr>
            <w:tcW w:w="1475"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3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bl>
    <w:p>
      <w:pPr>
        <w:pStyle w:val="2"/>
      </w:pP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0"/>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76D84E"/>
    <w:multiLevelType w:val="singleLevel"/>
    <w:tmpl w:val="9976D84E"/>
    <w:lvl w:ilvl="0" w:tentative="0">
      <w:start w:val="1"/>
      <w:numFmt w:val="decimal"/>
      <w:pStyle w:val="9"/>
      <w:lvlText w:val="%1."/>
      <w:lvlJc w:val="left"/>
      <w:pPr>
        <w:tabs>
          <w:tab w:val="left" w:pos="2040"/>
        </w:tabs>
        <w:ind w:left="2040" w:hanging="360"/>
      </w:pPr>
    </w:lvl>
  </w:abstractNum>
  <w:abstractNum w:abstractNumId="1">
    <w:nsid w:val="E41F1B0A"/>
    <w:multiLevelType w:val="singleLevel"/>
    <w:tmpl w:val="E41F1B0A"/>
    <w:lvl w:ilvl="0" w:tentative="0">
      <w:start w:val="2"/>
      <w:numFmt w:val="chineseCounting"/>
      <w:suff w:val="nothing"/>
      <w:lvlText w:val="（%1）"/>
      <w:lvlJc w:val="left"/>
      <w:rPr>
        <w:rFonts w:hint="eastAsia"/>
      </w:rPr>
    </w:lvl>
  </w:abstractNum>
  <w:abstractNum w:abstractNumId="2">
    <w:nsid w:val="2AE2ED57"/>
    <w:multiLevelType w:val="singleLevel"/>
    <w:tmpl w:val="2AE2ED57"/>
    <w:lvl w:ilvl="0" w:tentative="0">
      <w:start w:val="2"/>
      <w:numFmt w:val="chineseCounting"/>
      <w:suff w:val="nothing"/>
      <w:lvlText w:val="（%1）"/>
      <w:lvlJc w:val="left"/>
      <w:rPr>
        <w:rFonts w:hint="eastAsia"/>
      </w:rPr>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40FD48C0"/>
    <w:multiLevelType w:val="singleLevel"/>
    <w:tmpl w:val="40FD48C0"/>
    <w:lvl w:ilvl="0" w:tentative="0">
      <w:start w:val="1"/>
      <w:numFmt w:val="decimal"/>
      <w:suff w:val="nothing"/>
      <w:lvlText w:val="%1、"/>
      <w:lvlJc w:val="left"/>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6592DCF"/>
    <w:rsid w:val="0C2F732C"/>
    <w:rsid w:val="0CD87356"/>
    <w:rsid w:val="0E9A5E97"/>
    <w:rsid w:val="16767659"/>
    <w:rsid w:val="1AC43851"/>
    <w:rsid w:val="1EB60E4D"/>
    <w:rsid w:val="1EB8629C"/>
    <w:rsid w:val="253C7BC5"/>
    <w:rsid w:val="352B35E9"/>
    <w:rsid w:val="3AB1209D"/>
    <w:rsid w:val="3F5325E1"/>
    <w:rsid w:val="46893A13"/>
    <w:rsid w:val="4CD551FC"/>
    <w:rsid w:val="4E4A2DFD"/>
    <w:rsid w:val="50CD2E86"/>
    <w:rsid w:val="5CE21844"/>
    <w:rsid w:val="5E646E2B"/>
    <w:rsid w:val="65205651"/>
    <w:rsid w:val="6684615E"/>
    <w:rsid w:val="6844455C"/>
    <w:rsid w:val="776B7C83"/>
    <w:rsid w:val="77C34A38"/>
    <w:rsid w:val="783444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Normal Indent"/>
    <w:qFormat/>
    <w:uiPriority w:val="0"/>
    <w:pPr>
      <w:widowControl w:val="0"/>
      <w:ind w:firstLine="420" w:firstLineChars="200"/>
      <w:jc w:val="both"/>
    </w:pPr>
    <w:rPr>
      <w:rFonts w:ascii="Calibri" w:hAnsi="Calibri" w:eastAsia="仿宋_GB2312" w:cs="Times New Roman"/>
      <w:kern w:val="2"/>
      <w:sz w:val="32"/>
      <w:szCs w:val="24"/>
      <w:lang w:val="en-US" w:eastAsia="zh-CN" w:bidi="ar-SA"/>
    </w:rPr>
  </w:style>
  <w:style w:type="paragraph" w:styleId="7">
    <w:name w:val="toc 3"/>
    <w:basedOn w:val="1"/>
    <w:next w:val="1"/>
    <w:unhideWhenUsed/>
    <w:qFormat/>
    <w:uiPriority w:val="39"/>
    <w:pPr>
      <w:ind w:left="840" w:leftChars="400"/>
    </w:pPr>
  </w:style>
  <w:style w:type="paragraph" w:styleId="8">
    <w:name w:val="Plain Text"/>
    <w:basedOn w:val="1"/>
    <w:next w:val="9"/>
    <w:qFormat/>
    <w:uiPriority w:val="0"/>
    <w:rPr>
      <w:rFonts w:ascii="宋体" w:hAnsi="Courier New"/>
      <w:szCs w:val="20"/>
    </w:rPr>
  </w:style>
  <w:style w:type="paragraph" w:styleId="9">
    <w:name w:val="List Number 5"/>
    <w:basedOn w:val="1"/>
    <w:semiHidden/>
    <w:unhideWhenUsed/>
    <w:qFormat/>
    <w:uiPriority w:val="99"/>
    <w:pPr>
      <w:numPr>
        <w:ilvl w:val="0"/>
        <w:numId w:val="1"/>
      </w:numPr>
    </w:p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4"/>
    <w:basedOn w:val="1"/>
    <w:next w:val="1"/>
    <w:unhideWhenUsed/>
    <w:qFormat/>
    <w:uiPriority w:val="39"/>
    <w:pPr>
      <w:ind w:left="1260" w:leftChars="600"/>
    </w:pPr>
  </w:style>
  <w:style w:type="paragraph" w:styleId="13">
    <w:name w:val="Subtitle"/>
    <w:basedOn w:val="1"/>
    <w:next w:val="1"/>
    <w:link w:val="26"/>
    <w:qFormat/>
    <w:uiPriority w:val="11"/>
    <w:pPr>
      <w:spacing w:before="240" w:after="60" w:line="312" w:lineRule="auto"/>
      <w:jc w:val="center"/>
      <w:outlineLvl w:val="1"/>
    </w:pPr>
    <w:rPr>
      <w:b/>
      <w:bCs/>
      <w:kern w:val="28"/>
      <w:sz w:val="32"/>
      <w:szCs w:val="32"/>
    </w:rPr>
  </w:style>
  <w:style w:type="paragraph" w:styleId="14">
    <w:name w:val="toc 2"/>
    <w:basedOn w:val="1"/>
    <w:next w:val="1"/>
    <w:unhideWhenUsed/>
    <w:qFormat/>
    <w:uiPriority w:val="39"/>
    <w:pPr>
      <w:ind w:left="420" w:leftChars="200"/>
    </w:pPr>
  </w:style>
  <w:style w:type="paragraph" w:styleId="15">
    <w:name w:val="Normal (Web)"/>
    <w:basedOn w:val="1"/>
    <w:qFormat/>
    <w:uiPriority w:val="99"/>
    <w:pPr>
      <w:spacing w:before="100" w:beforeAutospacing="1" w:after="100" w:afterAutospacing="1"/>
      <w:jc w:val="left"/>
    </w:pPr>
    <w:rPr>
      <w:rFonts w:cs="Times New Roman"/>
      <w:sz w:val="24"/>
    </w:rPr>
  </w:style>
  <w:style w:type="paragraph" w:styleId="16">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character" w:styleId="19">
    <w:name w:val="Strong"/>
    <w:basedOn w:val="18"/>
    <w:qFormat/>
    <w:uiPriority w:val="0"/>
    <w:rPr>
      <w:b/>
      <w:bCs/>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页眉 字符"/>
    <w:basedOn w:val="18"/>
    <w:link w:val="11"/>
    <w:qFormat/>
    <w:uiPriority w:val="99"/>
    <w:rPr>
      <w:sz w:val="18"/>
      <w:szCs w:val="18"/>
    </w:rPr>
  </w:style>
  <w:style w:type="character" w:customStyle="1" w:styleId="22">
    <w:name w:val="页脚 字符"/>
    <w:basedOn w:val="18"/>
    <w:link w:val="10"/>
    <w:qFormat/>
    <w:uiPriority w:val="99"/>
    <w:rPr>
      <w:sz w:val="18"/>
      <w:szCs w:val="18"/>
    </w:rPr>
  </w:style>
  <w:style w:type="paragraph" w:styleId="23">
    <w:name w:val="List Paragraph"/>
    <w:basedOn w:val="1"/>
    <w:unhideWhenUsed/>
    <w:qFormat/>
    <w:uiPriority w:val="99"/>
    <w:pPr>
      <w:ind w:firstLine="420" w:firstLineChars="200"/>
    </w:pPr>
  </w:style>
  <w:style w:type="character" w:customStyle="1" w:styleId="24">
    <w:name w:val="标题 字符"/>
    <w:basedOn w:val="18"/>
    <w:link w:val="16"/>
    <w:qFormat/>
    <w:uiPriority w:val="10"/>
    <w:rPr>
      <w:rFonts w:asciiTheme="majorHAnsi" w:hAnsiTheme="majorHAnsi" w:eastAsiaTheme="majorEastAsia" w:cstheme="majorBidi"/>
      <w:b/>
      <w:bCs/>
      <w:sz w:val="32"/>
      <w:szCs w:val="32"/>
    </w:rPr>
  </w:style>
  <w:style w:type="character" w:customStyle="1" w:styleId="25">
    <w:name w:val="标题 2 字符"/>
    <w:basedOn w:val="18"/>
    <w:link w:val="4"/>
    <w:qFormat/>
    <w:uiPriority w:val="9"/>
    <w:rPr>
      <w:rFonts w:asciiTheme="majorHAnsi" w:hAnsiTheme="majorHAnsi" w:eastAsiaTheme="majorEastAsia" w:cstheme="majorBidi"/>
      <w:b/>
      <w:bCs/>
      <w:sz w:val="32"/>
      <w:szCs w:val="32"/>
    </w:rPr>
  </w:style>
  <w:style w:type="character" w:customStyle="1" w:styleId="26">
    <w:name w:val="副标题 字符"/>
    <w:basedOn w:val="18"/>
    <w:link w:val="13"/>
    <w:qFormat/>
    <w:uiPriority w:val="11"/>
    <w:rPr>
      <w:b/>
      <w:bCs/>
      <w:kern w:val="28"/>
      <w:sz w:val="32"/>
      <w:szCs w:val="32"/>
    </w:rPr>
  </w:style>
  <w:style w:type="character" w:customStyle="1" w:styleId="27">
    <w:name w:val="标题 3 字符"/>
    <w:basedOn w:val="18"/>
    <w:link w:val="5"/>
    <w:qFormat/>
    <w:uiPriority w:val="9"/>
    <w:rPr>
      <w:b/>
      <w:bCs/>
      <w:sz w:val="32"/>
      <w:szCs w:val="32"/>
    </w:rPr>
  </w:style>
  <w:style w:type="character" w:styleId="28">
    <w:name w:val="Placeholder Text"/>
    <w:basedOn w:val="18"/>
    <w:semiHidden/>
    <w:qFormat/>
    <w:uiPriority w:val="99"/>
    <w:rPr>
      <w:color w:val="808080"/>
    </w:rPr>
  </w:style>
  <w:style w:type="character" w:customStyle="1" w:styleId="29">
    <w:name w:val="标题 1 字符"/>
    <w:basedOn w:val="18"/>
    <w:link w:val="3"/>
    <w:qFormat/>
    <w:uiPriority w:val="9"/>
    <w:rPr>
      <w:b/>
      <w:bCs/>
      <w:kern w:val="44"/>
      <w:sz w:val="44"/>
      <w:szCs w:val="44"/>
    </w:rPr>
  </w:style>
  <w:style w:type="paragraph" w:customStyle="1" w:styleId="30">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1">
    <w:name w:val="标题 4 字符"/>
    <w:basedOn w:val="18"/>
    <w:link w:val="6"/>
    <w:qFormat/>
    <w:uiPriority w:val="9"/>
    <w:rPr>
      <w:rFonts w:asciiTheme="majorHAnsi" w:hAnsiTheme="majorHAnsi" w:eastAsiaTheme="majorEastAsia" w:cstheme="majorBidi"/>
      <w:b/>
      <w:bCs/>
      <w:sz w:val="28"/>
      <w:szCs w:val="28"/>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12165</Words>
  <Characters>12993</Characters>
  <Lines>72</Lines>
  <Paragraphs>20</Paragraphs>
  <TotalTime>1</TotalTime>
  <ScaleCrop>false</ScaleCrop>
  <LinksUpToDate>false</LinksUpToDate>
  <CharactersWithSpaces>13122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2022-05-25T12:18:16Z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